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FB26" w14:textId="5C036E30" w:rsidR="00306D72" w:rsidRDefault="002072C6">
      <w:pPr>
        <w:rPr>
          <w:rFonts w:ascii="Arial" w:hAnsi="Arial" w:cs="Arial"/>
          <w:b/>
          <w:sz w:val="24"/>
          <w:szCs w:val="24"/>
        </w:rPr>
      </w:pPr>
      <w:r w:rsidRPr="002072C6">
        <w:rPr>
          <w:rFonts w:ascii="Arial" w:hAnsi="Arial" w:cs="Arial"/>
          <w:b/>
          <w:sz w:val="24"/>
          <w:szCs w:val="24"/>
        </w:rPr>
        <w:t>ZAŁĄCZNIK NR 2</w:t>
      </w:r>
    </w:p>
    <w:p w14:paraId="0AA70FE4" w14:textId="77777777" w:rsidR="004E31A4" w:rsidRDefault="004E31A4">
      <w:pPr>
        <w:rPr>
          <w:rFonts w:ascii="Arial" w:hAnsi="Arial" w:cs="Arial"/>
          <w:b/>
          <w:sz w:val="24"/>
          <w:szCs w:val="24"/>
        </w:rPr>
      </w:pPr>
    </w:p>
    <w:p w14:paraId="49ADD651" w14:textId="0913E9F7" w:rsidR="004E31A4" w:rsidRDefault="004E31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RYZYKO W PODMIOCIE LECZNICZYM</w:t>
      </w:r>
    </w:p>
    <w:p w14:paraId="210C1C40" w14:textId="5D04C716" w:rsidR="002072C6" w:rsidRDefault="00801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Zasady analizy ryzyka w podmiocie leczniczym</w:t>
      </w:r>
    </w:p>
    <w:p w14:paraId="0D901404" w14:textId="497D8C19" w:rsidR="002072C6" w:rsidRDefault="00162928" w:rsidP="004E31A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31A4">
        <w:rPr>
          <w:rFonts w:ascii="Arial" w:hAnsi="Arial" w:cs="Arial"/>
          <w:sz w:val="24"/>
          <w:szCs w:val="24"/>
        </w:rPr>
        <w:t>Podmiot leczniczy wprowadza politykę zarządzania ryzykiem, której zadaniem jest monitorowanie zagrożeń dla działalności systemu ochrony danych osobowych podmiotu leczniczego.</w:t>
      </w:r>
    </w:p>
    <w:p w14:paraId="4ED232FB" w14:textId="58FEFC39" w:rsidR="004E31A4" w:rsidRDefault="004E31A4" w:rsidP="004E31A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31A4">
        <w:rPr>
          <w:rFonts w:ascii="Arial" w:hAnsi="Arial" w:cs="Arial"/>
          <w:sz w:val="24"/>
          <w:szCs w:val="24"/>
        </w:rPr>
        <w:t>Obowiązującym standardem w działalności podmiotu leczniczego jest przygotowanie się do następstw wystąpienia zagrożenia lub zagrożeń, określenie prawdopodobieństwa jego wystąpienia oraz zaplanowania działań na rzecz minimalizacji możliwości jego wystąpienia.</w:t>
      </w:r>
    </w:p>
    <w:p w14:paraId="491F0467" w14:textId="3E5DA72A" w:rsidR="004E31A4" w:rsidRDefault="004E31A4" w:rsidP="004E31A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Procedurą analizy ryzyka objęte są wszystkie elementy działalności podmiotu leczniczego, a w szczególności te dziedziny, w których przetwarzane są dane osobowe dotyczące zdrowia pacjentów.</w:t>
      </w:r>
    </w:p>
    <w:p w14:paraId="29E2DC2A" w14:textId="7FF59E76" w:rsidR="00EC25EF" w:rsidRDefault="00EC25EF" w:rsidP="004E31A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analizy ryzyka należy wyodrębnić następujące elementy:</w:t>
      </w:r>
    </w:p>
    <w:p w14:paraId="0CCD0291" w14:textId="0539F232" w:rsidR="00EC25EF" w:rsidRDefault="00EC25EF" w:rsidP="00EC25E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aktywa – są to wszystkie środki i narzędzia mające istotne znaczenie dla podmiotu leczniczego,</w:t>
      </w:r>
    </w:p>
    <w:p w14:paraId="1B0D0DC8" w14:textId="62D731C0" w:rsidR="00EC25EF" w:rsidRDefault="00EC25EF" w:rsidP="00EC25E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zagrożenia – są to przykłady potencjalnych naruszeń systemu,</w:t>
      </w:r>
    </w:p>
    <w:p w14:paraId="749C8443" w14:textId="76B073ED" w:rsidR="00EC25EF" w:rsidRDefault="00EC25EF" w:rsidP="00EC25E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skutki – są to niepożądane następstwa zrealizowania się zagrożeń w praktyce,</w:t>
      </w:r>
    </w:p>
    <w:p w14:paraId="6A5C44C7" w14:textId="2970DC9D" w:rsidR="00EC25EF" w:rsidRDefault="00EC25EF" w:rsidP="00EC25E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ryzyko – jest to prawdopodobieństwo, że zagrożenia się zrealizują i przyniosą konkretny, negatywny skutek dla aktywów.</w:t>
      </w:r>
    </w:p>
    <w:p w14:paraId="0C3AA460" w14:textId="77777777" w:rsidR="00EC25EF" w:rsidRDefault="00EC25EF" w:rsidP="00EC25EF">
      <w:pPr>
        <w:pStyle w:val="Akapitzlist"/>
        <w:rPr>
          <w:rFonts w:ascii="Arial" w:hAnsi="Arial" w:cs="Arial"/>
          <w:sz w:val="24"/>
          <w:szCs w:val="24"/>
        </w:rPr>
      </w:pPr>
    </w:p>
    <w:p w14:paraId="77E25FB3" w14:textId="089AC0A5" w:rsidR="004E31A4" w:rsidRPr="004E31A4" w:rsidRDefault="004E31A4" w:rsidP="004E31A4">
      <w:pPr>
        <w:pStyle w:val="Akapitzlist"/>
        <w:rPr>
          <w:rFonts w:ascii="Arial" w:hAnsi="Arial" w:cs="Arial"/>
          <w:sz w:val="24"/>
          <w:szCs w:val="24"/>
        </w:rPr>
      </w:pPr>
    </w:p>
    <w:p w14:paraId="4A10FDDD" w14:textId="6C4846D1" w:rsidR="0080114B" w:rsidRDefault="0080114B" w:rsidP="00801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Procedura analizy ryzyka w podmiocie leczniczym</w:t>
      </w:r>
    </w:p>
    <w:p w14:paraId="2BD1C17A" w14:textId="135314FB" w:rsidR="0080114B" w:rsidRDefault="00A92539" w:rsidP="0080114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określa i definiuje zagrożenia jakie występują w podmiocie leczniczym. Wykaz potencjalnych zagrożeń znajduje się w załączniku nr 2 A.</w:t>
      </w:r>
    </w:p>
    <w:p w14:paraId="7F1B937F" w14:textId="747CEC5E" w:rsidR="00A92539" w:rsidRDefault="00A92539" w:rsidP="0080114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Zagrożenia są identyfikowane z uwzględnieniem odniesienia się do aktywów.</w:t>
      </w:r>
    </w:p>
    <w:p w14:paraId="7784D44C" w14:textId="291E337B" w:rsidR="00A92539" w:rsidRDefault="00A92539" w:rsidP="0080114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Wyliczenie poziomu Ryzyka (R) następuje poprzez iloczyn określonego przez Administratora Prawdopodobieństwa (P) wystąpienia zagrożenia w podmiocie leczniczym i Skutku (S) wystąpienia takiego zagrożenia w podmiocie leczniczym tj. R = P x S.</w:t>
      </w:r>
    </w:p>
    <w:p w14:paraId="06A9BD8B" w14:textId="15221A98" w:rsidR="00A92539" w:rsidRDefault="00A92539" w:rsidP="0080114B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Skalę Prawdopodobieństwa (P) wystąpienia zagrożenia obrazuje Tabela A.</w:t>
      </w:r>
    </w:p>
    <w:p w14:paraId="6034EA0E" w14:textId="2C932404" w:rsidR="00A92539" w:rsidRDefault="00A92539" w:rsidP="00A92539">
      <w:pPr>
        <w:rPr>
          <w:rFonts w:ascii="Arial" w:hAnsi="Arial" w:cs="Arial"/>
          <w:sz w:val="24"/>
          <w:szCs w:val="24"/>
        </w:rPr>
      </w:pPr>
    </w:p>
    <w:p w14:paraId="23D97DC8" w14:textId="1F59E0EF" w:rsidR="003546E4" w:rsidRDefault="003546E4" w:rsidP="00A925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8C6" w14:paraId="00DFA872" w14:textId="77777777" w:rsidTr="00D578C6">
        <w:tc>
          <w:tcPr>
            <w:tcW w:w="4531" w:type="dxa"/>
          </w:tcPr>
          <w:p w14:paraId="63E33183" w14:textId="406F022E" w:rsidR="00D578C6" w:rsidRPr="00D578C6" w:rsidRDefault="00D578C6" w:rsidP="00D578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8C6">
              <w:rPr>
                <w:rFonts w:ascii="Arial" w:hAnsi="Arial" w:cs="Arial"/>
                <w:b/>
                <w:sz w:val="24"/>
                <w:szCs w:val="24"/>
              </w:rPr>
              <w:t>Prawdopodobieństwo wystąpienia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zagrożenia</w:t>
            </w:r>
          </w:p>
        </w:tc>
        <w:tc>
          <w:tcPr>
            <w:tcW w:w="4531" w:type="dxa"/>
          </w:tcPr>
          <w:p w14:paraId="1DEF5013" w14:textId="62C7FE88" w:rsidR="00D578C6" w:rsidRPr="00D578C6" w:rsidRDefault="00D578C6" w:rsidP="00D578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8C6">
              <w:rPr>
                <w:rFonts w:ascii="Arial" w:hAnsi="Arial" w:cs="Arial"/>
                <w:b/>
                <w:sz w:val="24"/>
                <w:szCs w:val="24"/>
              </w:rPr>
              <w:t>Skala</w:t>
            </w:r>
          </w:p>
        </w:tc>
      </w:tr>
      <w:tr w:rsidR="00D578C6" w14:paraId="1D6C0DC0" w14:textId="77777777" w:rsidTr="00D578C6">
        <w:tc>
          <w:tcPr>
            <w:tcW w:w="4531" w:type="dxa"/>
          </w:tcPr>
          <w:p w14:paraId="504EAF72" w14:textId="4B3DB77F" w:rsidR="00D578C6" w:rsidRDefault="00D578C6" w:rsidP="00D57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Wysokie</w:t>
            </w:r>
          </w:p>
        </w:tc>
        <w:tc>
          <w:tcPr>
            <w:tcW w:w="4531" w:type="dxa"/>
          </w:tcPr>
          <w:p w14:paraId="75AD88F5" w14:textId="1D8B1325" w:rsidR="00D578C6" w:rsidRDefault="00D578C6" w:rsidP="00D57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78C6" w14:paraId="7272142B" w14:textId="77777777" w:rsidTr="00D578C6">
        <w:tc>
          <w:tcPr>
            <w:tcW w:w="4531" w:type="dxa"/>
          </w:tcPr>
          <w:p w14:paraId="55584435" w14:textId="0843FEE1" w:rsidR="00D578C6" w:rsidRDefault="00D578C6" w:rsidP="00D57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Średnie</w:t>
            </w:r>
          </w:p>
        </w:tc>
        <w:tc>
          <w:tcPr>
            <w:tcW w:w="4531" w:type="dxa"/>
          </w:tcPr>
          <w:p w14:paraId="363D8DB4" w14:textId="7B6A3FD7" w:rsidR="00D578C6" w:rsidRDefault="00D578C6" w:rsidP="00D57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78C6" w14:paraId="622FC63E" w14:textId="77777777" w:rsidTr="00D578C6">
        <w:tc>
          <w:tcPr>
            <w:tcW w:w="4531" w:type="dxa"/>
          </w:tcPr>
          <w:p w14:paraId="1D7CB766" w14:textId="3C1FF741" w:rsidR="00D578C6" w:rsidRDefault="00D578C6" w:rsidP="00D57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Niskie</w:t>
            </w:r>
          </w:p>
        </w:tc>
        <w:tc>
          <w:tcPr>
            <w:tcW w:w="4531" w:type="dxa"/>
          </w:tcPr>
          <w:p w14:paraId="54948E9B" w14:textId="36200D4C" w:rsidR="00D578C6" w:rsidRDefault="00D578C6" w:rsidP="00D57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616E75F" w14:textId="4B418D16" w:rsidR="003546E4" w:rsidRDefault="003546E4" w:rsidP="00A92539">
      <w:pPr>
        <w:rPr>
          <w:rFonts w:ascii="Arial" w:hAnsi="Arial" w:cs="Arial"/>
          <w:sz w:val="24"/>
          <w:szCs w:val="24"/>
        </w:rPr>
      </w:pPr>
    </w:p>
    <w:p w14:paraId="2CCE60DB" w14:textId="04667F90" w:rsidR="00D578C6" w:rsidRDefault="00D578C6" w:rsidP="00A92539">
      <w:pPr>
        <w:rPr>
          <w:rFonts w:ascii="Arial" w:hAnsi="Arial" w:cs="Arial"/>
          <w:sz w:val="24"/>
          <w:szCs w:val="24"/>
        </w:rPr>
      </w:pPr>
    </w:p>
    <w:p w14:paraId="6B386E28" w14:textId="77777777" w:rsidR="00D578C6" w:rsidRDefault="00D578C6" w:rsidP="00A92539">
      <w:pPr>
        <w:rPr>
          <w:rFonts w:ascii="Arial" w:hAnsi="Arial" w:cs="Arial"/>
          <w:sz w:val="24"/>
          <w:szCs w:val="24"/>
        </w:rPr>
      </w:pPr>
    </w:p>
    <w:p w14:paraId="13A927AF" w14:textId="5AD33D32" w:rsidR="00162928" w:rsidRDefault="00D578C6" w:rsidP="00D578C6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Skalę Skutków (S) określa Tabela B. Do określenia skali stosuje się pomocniczo dodatkowe kryteria oceny pozwalające na prawidłowe oszacowanie potencjalnych strat.</w:t>
      </w:r>
    </w:p>
    <w:p w14:paraId="74DF7EE7" w14:textId="16F91BC2" w:rsidR="00D578C6" w:rsidRDefault="00D578C6" w:rsidP="00D578C6">
      <w:pPr>
        <w:rPr>
          <w:rFonts w:ascii="Arial" w:hAnsi="Arial" w:cs="Arial"/>
          <w:sz w:val="24"/>
          <w:szCs w:val="24"/>
        </w:rPr>
      </w:pPr>
    </w:p>
    <w:p w14:paraId="6DAAAD74" w14:textId="63DD42DD" w:rsidR="00D578C6" w:rsidRDefault="00D578C6" w:rsidP="00D57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8C6" w:rsidRPr="00D578C6" w14:paraId="3AF8F7E3" w14:textId="77777777" w:rsidTr="00565F6C">
        <w:tc>
          <w:tcPr>
            <w:tcW w:w="4531" w:type="dxa"/>
          </w:tcPr>
          <w:p w14:paraId="4FE4B1D4" w14:textId="6EC1A8DE" w:rsidR="00D578C6" w:rsidRPr="00D578C6" w:rsidRDefault="00D578C6" w:rsidP="00565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Skutki </w:t>
            </w:r>
            <w:r w:rsidRPr="00D578C6">
              <w:rPr>
                <w:rFonts w:ascii="Arial" w:hAnsi="Arial" w:cs="Arial"/>
                <w:b/>
                <w:sz w:val="24"/>
                <w:szCs w:val="24"/>
              </w:rPr>
              <w:t>wystąpienia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zagrożenia</w:t>
            </w:r>
          </w:p>
        </w:tc>
        <w:tc>
          <w:tcPr>
            <w:tcW w:w="4531" w:type="dxa"/>
          </w:tcPr>
          <w:p w14:paraId="1386F1DA" w14:textId="77777777" w:rsidR="00D578C6" w:rsidRPr="00D578C6" w:rsidRDefault="00D578C6" w:rsidP="00565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8C6">
              <w:rPr>
                <w:rFonts w:ascii="Arial" w:hAnsi="Arial" w:cs="Arial"/>
                <w:b/>
                <w:sz w:val="24"/>
                <w:szCs w:val="24"/>
              </w:rPr>
              <w:t>Skala</w:t>
            </w:r>
          </w:p>
        </w:tc>
      </w:tr>
      <w:tr w:rsidR="00D578C6" w14:paraId="5D834702" w14:textId="77777777" w:rsidTr="00B459C8">
        <w:tc>
          <w:tcPr>
            <w:tcW w:w="4531" w:type="dxa"/>
          </w:tcPr>
          <w:p w14:paraId="5B97E09C" w14:textId="77777777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Wysokie </w:t>
            </w:r>
          </w:p>
          <w:p w14:paraId="7C4A8213" w14:textId="541598E8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(utrata dobrego wizerunku, brak możliwości realizacji zadań, naruszenie prawa, incydent prasowy o charakterze ogólnopolskim, straty finansowe powyżej 100.000 zł)</w:t>
            </w:r>
          </w:p>
        </w:tc>
        <w:tc>
          <w:tcPr>
            <w:tcW w:w="4531" w:type="dxa"/>
            <w:vAlign w:val="center"/>
          </w:tcPr>
          <w:p w14:paraId="516CFF19" w14:textId="77777777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78C6" w14:paraId="0C302539" w14:textId="77777777" w:rsidTr="00B459C8">
        <w:tc>
          <w:tcPr>
            <w:tcW w:w="4531" w:type="dxa"/>
          </w:tcPr>
          <w:p w14:paraId="470CE0B7" w14:textId="77777777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Średnie </w:t>
            </w:r>
          </w:p>
          <w:p w14:paraId="10480B45" w14:textId="2F5E1308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(obniżenie dobrej reputacji na rynku, możliwe naruszenie prawa, incydent prasowy o charakterze lokalnym, straty finansowe powyżej 10.000 zł)</w:t>
            </w:r>
          </w:p>
        </w:tc>
        <w:tc>
          <w:tcPr>
            <w:tcW w:w="4531" w:type="dxa"/>
            <w:vAlign w:val="center"/>
          </w:tcPr>
          <w:p w14:paraId="36E50CFD" w14:textId="77777777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78C6" w14:paraId="47EEB927" w14:textId="77777777" w:rsidTr="00B459C8">
        <w:tc>
          <w:tcPr>
            <w:tcW w:w="4531" w:type="dxa"/>
          </w:tcPr>
          <w:p w14:paraId="4C6A9189" w14:textId="77777777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Niskie </w:t>
            </w:r>
          </w:p>
          <w:p w14:paraId="2E10B0FC" w14:textId="5F2C955A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(wystąpienie nie ma wpływu na posiadane aktywa i działalność podmiotu leczniczego)</w:t>
            </w:r>
          </w:p>
        </w:tc>
        <w:tc>
          <w:tcPr>
            <w:tcW w:w="4531" w:type="dxa"/>
            <w:vAlign w:val="center"/>
          </w:tcPr>
          <w:p w14:paraId="51626CA4" w14:textId="77777777" w:rsidR="00D578C6" w:rsidRDefault="00D578C6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3A5AFE90" w14:textId="77777777" w:rsidR="00D578C6" w:rsidRPr="00D578C6" w:rsidRDefault="00D578C6" w:rsidP="00D578C6">
      <w:pPr>
        <w:rPr>
          <w:rFonts w:ascii="Arial" w:hAnsi="Arial" w:cs="Arial"/>
          <w:sz w:val="24"/>
          <w:szCs w:val="24"/>
        </w:rPr>
      </w:pPr>
    </w:p>
    <w:p w14:paraId="6EC7D100" w14:textId="0704C65C" w:rsidR="00162928" w:rsidRDefault="002B722C" w:rsidP="002B722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2B722C">
        <w:rPr>
          <w:rFonts w:ascii="Arial" w:hAnsi="Arial" w:cs="Arial"/>
          <w:sz w:val="24"/>
          <w:szCs w:val="24"/>
        </w:rPr>
        <w:t>Ad</w:t>
      </w:r>
      <w:r w:rsidR="00276445">
        <w:rPr>
          <w:rFonts w:ascii="Arial" w:hAnsi="Arial" w:cs="Arial"/>
          <w:sz w:val="24"/>
          <w:szCs w:val="24"/>
        </w:rPr>
        <w:t>ministrator, po dokonaniu wyliczenia Ryzyka (R) ma obowiązek odniesienia jego poziomu do skali i podejmuje dalsze działania związane z ryzykiem.</w:t>
      </w:r>
    </w:p>
    <w:p w14:paraId="5D3A66DA" w14:textId="0F083FD5" w:rsidR="00276445" w:rsidRDefault="00276445" w:rsidP="002B722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Skalę Ryzyka w podmiocie leczniczym określa tabela C.</w:t>
      </w:r>
    </w:p>
    <w:p w14:paraId="4A857B8F" w14:textId="77777777" w:rsidR="00276445" w:rsidRDefault="00276445" w:rsidP="0027644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18311901" w14:textId="7DE20B17" w:rsidR="00276445" w:rsidRDefault="00276445" w:rsidP="002764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6445" w:rsidRPr="00D578C6" w14:paraId="70E4767F" w14:textId="77777777" w:rsidTr="00565F6C">
        <w:tc>
          <w:tcPr>
            <w:tcW w:w="4531" w:type="dxa"/>
          </w:tcPr>
          <w:p w14:paraId="4EB28BEB" w14:textId="6B57915F" w:rsidR="00276445" w:rsidRPr="00D578C6" w:rsidRDefault="00276445" w:rsidP="00565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Poziom ryzyka</w:t>
            </w:r>
          </w:p>
        </w:tc>
        <w:tc>
          <w:tcPr>
            <w:tcW w:w="4531" w:type="dxa"/>
          </w:tcPr>
          <w:p w14:paraId="32AEA45E" w14:textId="0CA9DB87" w:rsidR="00276445" w:rsidRPr="00D578C6" w:rsidRDefault="00276445" w:rsidP="00565F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ryzyka R = P x S</w:t>
            </w:r>
          </w:p>
        </w:tc>
      </w:tr>
      <w:tr w:rsidR="00276445" w14:paraId="2594409D" w14:textId="77777777" w:rsidTr="00565F6C">
        <w:tc>
          <w:tcPr>
            <w:tcW w:w="4531" w:type="dxa"/>
          </w:tcPr>
          <w:p w14:paraId="07A2E9DD" w14:textId="77777777" w:rsidR="00276445" w:rsidRDefault="00276445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Wysokie </w:t>
            </w:r>
          </w:p>
          <w:p w14:paraId="0FF2835A" w14:textId="16527079" w:rsidR="00276445" w:rsidRDefault="00276445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(należy przeprowadzić czynności mające na celu obniżenie ryzyka)</w:t>
            </w:r>
          </w:p>
        </w:tc>
        <w:tc>
          <w:tcPr>
            <w:tcW w:w="4531" w:type="dxa"/>
            <w:vAlign w:val="center"/>
          </w:tcPr>
          <w:p w14:paraId="65A5D2C8" w14:textId="1B4FE867" w:rsidR="00276445" w:rsidRDefault="00276445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76445" w14:paraId="17EC2B3D" w14:textId="77777777" w:rsidTr="00565F6C">
        <w:tc>
          <w:tcPr>
            <w:tcW w:w="4531" w:type="dxa"/>
          </w:tcPr>
          <w:p w14:paraId="0E7D0EE4" w14:textId="57308F7E" w:rsidR="00276445" w:rsidRDefault="00276445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Opcjonalne (Administrator może je obniżyć lub zaakceptować)</w:t>
            </w:r>
          </w:p>
        </w:tc>
        <w:tc>
          <w:tcPr>
            <w:tcW w:w="4531" w:type="dxa"/>
            <w:vAlign w:val="center"/>
          </w:tcPr>
          <w:p w14:paraId="6EB103D0" w14:textId="5E8F1A88" w:rsidR="00276445" w:rsidRDefault="00276445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3-6</w:t>
            </w:r>
          </w:p>
        </w:tc>
      </w:tr>
      <w:tr w:rsidR="00276445" w14:paraId="3397D321" w14:textId="77777777" w:rsidTr="00565F6C">
        <w:tc>
          <w:tcPr>
            <w:tcW w:w="4531" w:type="dxa"/>
          </w:tcPr>
          <w:p w14:paraId="6D80AAF7" w14:textId="51E3CD85" w:rsidR="00276445" w:rsidRDefault="00276445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Akceptowalne (pomijane)</w:t>
            </w:r>
          </w:p>
        </w:tc>
        <w:tc>
          <w:tcPr>
            <w:tcW w:w="4531" w:type="dxa"/>
            <w:vAlign w:val="center"/>
          </w:tcPr>
          <w:p w14:paraId="7C2BB3A6" w14:textId="33748DA6" w:rsidR="00276445" w:rsidRDefault="00276445" w:rsidP="00565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</w:tbl>
    <w:p w14:paraId="63D07201" w14:textId="6F5446F1" w:rsidR="00276445" w:rsidRDefault="00276445" w:rsidP="00276445">
      <w:pPr>
        <w:spacing w:line="360" w:lineRule="auto"/>
        <w:rPr>
          <w:rFonts w:ascii="Arial" w:hAnsi="Arial" w:cs="Arial"/>
          <w:sz w:val="24"/>
          <w:szCs w:val="24"/>
        </w:rPr>
      </w:pPr>
    </w:p>
    <w:p w14:paraId="1F5971C2" w14:textId="1D62FDD8" w:rsidR="00276445" w:rsidRDefault="00276445" w:rsidP="002764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Reakcja na ryzyko w podmiocie leczniczym</w:t>
      </w:r>
    </w:p>
    <w:p w14:paraId="0F327FB1" w14:textId="44EB4B96" w:rsidR="00276445" w:rsidRDefault="00BC7295" w:rsidP="00BC7295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ryzyko w podmiocie leczniczym jest na poziomie akceptowalnym, Administrator potwierdza jedynie, że zastosowane zabezpieczenia są właściwe.</w:t>
      </w:r>
    </w:p>
    <w:p w14:paraId="11BF9715" w14:textId="2C0AA4A4" w:rsidR="00BC7295" w:rsidRDefault="00BC7295" w:rsidP="00BC7295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ryzyka na poziomie opcjonalnym Administrator musi ocenić czy jest możliwość obniżenia jego poziomu poprzez zastosowanie stosownych </w:t>
      </w:r>
      <w:r>
        <w:rPr>
          <w:rFonts w:ascii="Arial" w:hAnsi="Arial" w:cs="Arial"/>
          <w:sz w:val="24"/>
          <w:szCs w:val="24"/>
        </w:rPr>
        <w:lastRenderedPageBreak/>
        <w:t xml:space="preserve">zabezpieczeń lub czy może je zaakceptować. W przypadku akceptacji ryzyka Administrator ma obowiązek jego monitorowania. </w:t>
      </w:r>
    </w:p>
    <w:p w14:paraId="2F5AFC19" w14:textId="20B9AD85" w:rsidR="00BC7295" w:rsidRDefault="00BC7295" w:rsidP="00BC7295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Listę potencjalnych zabezpieczeń w podmiocie leczniczym stanowi Załącznik nr 2 B.</w:t>
      </w:r>
    </w:p>
    <w:p w14:paraId="0E428D61" w14:textId="2D1A374D" w:rsidR="00BC7295" w:rsidRDefault="00031822" w:rsidP="00BC7295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obniżenia poziomu ryzyka Administrator może przeprowadzić następujące czynności:</w:t>
      </w:r>
    </w:p>
    <w:p w14:paraId="61C847E2" w14:textId="79205312" w:rsidR="00031822" w:rsidRDefault="00031822" w:rsidP="0003182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przeniesienie ryzyka – np. zakup ubezpieczenia, powierzenie procesów przetwarzania podmiotom zewnętrznym,</w:t>
      </w:r>
    </w:p>
    <w:p w14:paraId="681FC895" w14:textId="07B57C6A" w:rsidR="00031822" w:rsidRDefault="00031822" w:rsidP="0003182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unikanie ryzyka – np. poprzez modyfikację procedur, które mają na celu wyeliminowanie potencjalnie niebezpiecznych sytuacji,</w:t>
      </w:r>
    </w:p>
    <w:p w14:paraId="5872A3C8" w14:textId="3ECDC984" w:rsidR="00031822" w:rsidRDefault="00031822" w:rsidP="0003182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obniżanie ryzyka – np. poprzez zastosowanie zabezpieczeń, o których mowa w Załączniku nr 2 B.</w:t>
      </w:r>
    </w:p>
    <w:p w14:paraId="23375E21" w14:textId="60000BBE" w:rsidR="004E7F16" w:rsidRDefault="004E7F16" w:rsidP="004E7F1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kiedy ryzyko jest na poziomie nieakceptowalnym, Administrator po wprowadzeniu dodatkowych zabezpieczeń, przeprowadza ponowną analizę ryzyka.</w:t>
      </w:r>
    </w:p>
    <w:p w14:paraId="77B8964E" w14:textId="306317C4" w:rsidR="004E7F16" w:rsidRDefault="004E7F16" w:rsidP="004E7F1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ryzyka przeprowadzana jest za pomocą szablonu, o którym mowa w Załączniku nr 2 C.</w:t>
      </w:r>
    </w:p>
    <w:p w14:paraId="64937B9D" w14:textId="345F6E9F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4C238CAC" w14:textId="0AD88432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2F54203F" w14:textId="4965DF90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643E6683" w14:textId="48EF8934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286F7306" w14:textId="569C6C91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49FDEA24" w14:textId="2D0C3D66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499C2F1F" w14:textId="07C89387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34D05EA9" w14:textId="38CC5136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115459F7" w14:textId="6C0C07EF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2499464D" w14:textId="272AAFCC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2BA6E4F3" w14:textId="3CAA0ED3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6307989B" w14:textId="357657FD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43BDBF6F" w14:textId="0D9239C8" w:rsidR="0079506B" w:rsidRDefault="00CB3AD0" w:rsidP="00CB3A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OCENA SKUTKÓW DLA SYSTEMU OCHRONY DANYCH</w:t>
      </w:r>
      <w:r w:rsidR="0079506B">
        <w:rPr>
          <w:rFonts w:ascii="Arial" w:hAnsi="Arial" w:cs="Arial"/>
          <w:b/>
          <w:sz w:val="24"/>
          <w:szCs w:val="24"/>
        </w:rPr>
        <w:t xml:space="preserve"> W PODMIOCIE LECZNICZYM</w:t>
      </w:r>
    </w:p>
    <w:p w14:paraId="6165E861" w14:textId="0691568A" w:rsidR="0079506B" w:rsidRDefault="0079506B" w:rsidP="00795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="009F73B9">
        <w:rPr>
          <w:rFonts w:ascii="Arial" w:hAnsi="Arial" w:cs="Arial"/>
          <w:b/>
          <w:sz w:val="24"/>
          <w:szCs w:val="24"/>
        </w:rPr>
        <w:t>Ocena skutków dla ochrony danych</w:t>
      </w:r>
      <w:r w:rsidR="00DA3AD6">
        <w:rPr>
          <w:rFonts w:ascii="Arial" w:hAnsi="Arial" w:cs="Arial"/>
          <w:b/>
          <w:sz w:val="24"/>
          <w:szCs w:val="24"/>
        </w:rPr>
        <w:t xml:space="preserve"> w podmiocie leczniczym (DPIA)</w:t>
      </w:r>
    </w:p>
    <w:p w14:paraId="289E3DD5" w14:textId="0CAA13DA" w:rsidR="009F73B9" w:rsidRDefault="009F73B9" w:rsidP="009F73B9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F73B9">
        <w:rPr>
          <w:rFonts w:ascii="Arial" w:hAnsi="Arial" w:cs="Arial"/>
          <w:sz w:val="24"/>
          <w:szCs w:val="24"/>
        </w:rPr>
        <w:t xml:space="preserve">Ocena skutków dla ochrony danych - (DPIA – Data </w:t>
      </w:r>
      <w:proofErr w:type="spellStart"/>
      <w:r w:rsidRPr="009F73B9">
        <w:rPr>
          <w:rFonts w:ascii="Arial" w:hAnsi="Arial" w:cs="Arial"/>
          <w:sz w:val="24"/>
          <w:szCs w:val="24"/>
        </w:rPr>
        <w:t>Protection</w:t>
      </w:r>
      <w:proofErr w:type="spellEnd"/>
      <w:r w:rsidRPr="009F7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3B9">
        <w:rPr>
          <w:rFonts w:ascii="Arial" w:hAnsi="Arial" w:cs="Arial"/>
          <w:sz w:val="24"/>
          <w:szCs w:val="24"/>
        </w:rPr>
        <w:t>Impact</w:t>
      </w:r>
      <w:proofErr w:type="spellEnd"/>
      <w:r w:rsidRPr="009F7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3B9">
        <w:rPr>
          <w:rFonts w:ascii="Arial" w:hAnsi="Arial" w:cs="Arial"/>
          <w:sz w:val="24"/>
          <w:szCs w:val="24"/>
        </w:rPr>
        <w:t>Assesment</w:t>
      </w:r>
      <w:proofErr w:type="spellEnd"/>
      <w:r w:rsidRPr="009F73B9">
        <w:rPr>
          <w:rFonts w:ascii="Arial" w:hAnsi="Arial" w:cs="Arial"/>
          <w:sz w:val="24"/>
          <w:szCs w:val="24"/>
        </w:rPr>
        <w:t xml:space="preserve">) – nałożony przez RODO obowiązek analizy w jaki sposób operacja przetwarzania danych osobowych (planowana a także już prowadzona) wpływa lub będzie wpływać na prawa i wolności osób, których dane są przetwarzane w ramach danej operacji przetwarzania. </w:t>
      </w:r>
    </w:p>
    <w:p w14:paraId="432100A8" w14:textId="77777777" w:rsidR="009F73B9" w:rsidRDefault="009F73B9" w:rsidP="009F73B9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F73B9">
        <w:rPr>
          <w:rFonts w:ascii="Arial" w:hAnsi="Arial" w:cs="Arial"/>
          <w:sz w:val="24"/>
          <w:szCs w:val="24"/>
        </w:rPr>
        <w:t>DPIA stosowana jest dla operacji przetwarzania danych osobowych, które mogą powodować wysokie ryzyko naruszenia praw i wolności osób fizycznych.</w:t>
      </w:r>
    </w:p>
    <w:p w14:paraId="7F2C38B0" w14:textId="64230ED0" w:rsidR="009F73B9" w:rsidRDefault="009F73B9" w:rsidP="009F73B9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F73B9">
        <w:rPr>
          <w:rFonts w:ascii="Arial" w:hAnsi="Arial" w:cs="Arial"/>
          <w:sz w:val="24"/>
          <w:szCs w:val="24"/>
        </w:rPr>
        <w:t>Ocena skutków dla ochrony danych w praktyce przeprowadzana będzie dla wszelkich przedsięwzięć (np. projektów, zakupów urządzeń i nowych technologii) i procesów, podczas których przetwarzane są lub będą dane osobowe i z tym przetwarzaniem wiąże się ryzyko (obecnie lub w przyszłości) naruszenia praw i wolności osób fizycznych.</w:t>
      </w:r>
    </w:p>
    <w:p w14:paraId="5E87B1EB" w14:textId="2C8C4DA3" w:rsidR="009F73B9" w:rsidRPr="009F73B9" w:rsidRDefault="009F73B9" w:rsidP="009F73B9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F73B9">
        <w:rPr>
          <w:rFonts w:ascii="Arial" w:hAnsi="Arial" w:cs="Arial"/>
          <w:sz w:val="24"/>
          <w:szCs w:val="24"/>
        </w:rPr>
        <w:t>Operacje przetwarzania danych osobowych w podmiocie leczniczym mogą powodować wysokie ryzyko naruszenia praw i wolności osób fizycznych, ponieważ:</w:t>
      </w:r>
    </w:p>
    <w:p w14:paraId="16C1797D" w14:textId="77777777" w:rsidR="009F73B9" w:rsidRPr="009F73B9" w:rsidRDefault="009F73B9" w:rsidP="009F73B9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F73B9">
        <w:rPr>
          <w:rFonts w:ascii="Arial" w:hAnsi="Arial" w:cs="Arial"/>
          <w:sz w:val="24"/>
          <w:szCs w:val="24"/>
        </w:rPr>
        <w:t>Przetwarzane są dane osobowe wrażliwe oraz o charakterze wysoce osobistym,</w:t>
      </w:r>
    </w:p>
    <w:p w14:paraId="175E6038" w14:textId="77777777" w:rsidR="009F73B9" w:rsidRPr="009F73B9" w:rsidRDefault="009F73B9" w:rsidP="009F73B9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F73B9">
        <w:rPr>
          <w:rFonts w:ascii="Arial" w:hAnsi="Arial" w:cs="Arial"/>
          <w:sz w:val="24"/>
          <w:szCs w:val="24"/>
        </w:rPr>
        <w:t>Dane osobowe przetwarzane są na dużą skalę,</w:t>
      </w:r>
    </w:p>
    <w:p w14:paraId="1A9DF37A" w14:textId="6902A5A9" w:rsidR="009F73B9" w:rsidRDefault="009F73B9" w:rsidP="009F73B9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9F73B9">
        <w:rPr>
          <w:rFonts w:ascii="Arial" w:hAnsi="Arial" w:cs="Arial"/>
          <w:sz w:val="24"/>
          <w:szCs w:val="24"/>
        </w:rPr>
        <w:t xml:space="preserve">Przetwarzane są dane </w:t>
      </w:r>
      <w:r>
        <w:rPr>
          <w:rFonts w:ascii="Arial" w:hAnsi="Arial" w:cs="Arial"/>
          <w:sz w:val="24"/>
          <w:szCs w:val="24"/>
        </w:rPr>
        <w:t>o stanie zdrowia/dane pacjentów,</w:t>
      </w:r>
    </w:p>
    <w:p w14:paraId="259A4366" w14:textId="46059D4F" w:rsidR="009F73B9" w:rsidRDefault="009F73B9" w:rsidP="009F73B9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Głównym przedmiotem działalności podmiotu leczniczego jest przetwarzanie danych pacjentów.</w:t>
      </w:r>
    </w:p>
    <w:p w14:paraId="6070C141" w14:textId="49086765" w:rsidR="009F73B9" w:rsidRPr="009F73B9" w:rsidRDefault="009F73B9" w:rsidP="009F73B9">
      <w:pPr>
        <w:pStyle w:val="Akapitzlist"/>
        <w:numPr>
          <w:ilvl w:val="0"/>
          <w:numId w:val="3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konieczności przeprowadzania DPIA decyduje Administrator, po zasięgnięciu opinii u Inspektora Ochrony Danych Osobowych</w:t>
      </w:r>
      <w:r w:rsidR="009762C6">
        <w:rPr>
          <w:rFonts w:ascii="Arial" w:hAnsi="Arial" w:cs="Arial"/>
          <w:sz w:val="24"/>
          <w:szCs w:val="24"/>
        </w:rPr>
        <w:t xml:space="preserve"> (IOD)</w:t>
      </w:r>
      <w:r>
        <w:rPr>
          <w:rFonts w:ascii="Arial" w:hAnsi="Arial" w:cs="Arial"/>
          <w:sz w:val="24"/>
          <w:szCs w:val="24"/>
        </w:rPr>
        <w:t xml:space="preserve">. Wykaz zbiorów lub operacji </w:t>
      </w:r>
      <w:r w:rsidR="00DA3AD6">
        <w:rPr>
          <w:rFonts w:ascii="Arial" w:hAnsi="Arial" w:cs="Arial"/>
          <w:sz w:val="24"/>
          <w:szCs w:val="24"/>
        </w:rPr>
        <w:t xml:space="preserve">przetwarzania </w:t>
      </w:r>
      <w:r>
        <w:rPr>
          <w:rFonts w:ascii="Arial" w:hAnsi="Arial" w:cs="Arial"/>
          <w:sz w:val="24"/>
          <w:szCs w:val="24"/>
        </w:rPr>
        <w:t>dla których jest przeprowadzana DPIA znajduje się w Załączniku nr 1.</w:t>
      </w:r>
    </w:p>
    <w:p w14:paraId="38924C76" w14:textId="77777777" w:rsidR="009F73B9" w:rsidRDefault="009F73B9" w:rsidP="009F73B9">
      <w:pPr>
        <w:pStyle w:val="Akapitzlist"/>
        <w:rPr>
          <w:color w:val="FF0000"/>
        </w:rPr>
      </w:pPr>
    </w:p>
    <w:p w14:paraId="068A74C6" w14:textId="1288E4EB" w:rsidR="00DA3AD6" w:rsidRDefault="00DA3AD6" w:rsidP="00DA3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Naruszenie praw i wolności </w:t>
      </w:r>
    </w:p>
    <w:p w14:paraId="28C2CDE9" w14:textId="4C6476FB" w:rsidR="00BA7278" w:rsidRDefault="00BA7278" w:rsidP="00BA727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Definicja naruszenia praw i wolności jest bardzo szeroka i ma charakter otwarty. Szczegółowe odniesienie się do zagrożeń w tej materii znajduje się w Motywie 75 RODO, ale wszystkie łączne przesłanki sprowadzają się do prawa do prywatności osób, których dane przetwarzamy.</w:t>
      </w:r>
    </w:p>
    <w:p w14:paraId="4535644F" w14:textId="6D1D675B" w:rsidR="00BA7278" w:rsidRDefault="00BA7278" w:rsidP="00BA727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leczniczym dodatkowo należy brać pod uwagę prawa osób, których dane są przetwarzane z perspektywy praw przysługujących im jako pacjentów podmiotu leczniczego.</w:t>
      </w:r>
    </w:p>
    <w:p w14:paraId="1C130366" w14:textId="0FCD213A" w:rsidR="00BA7278" w:rsidRDefault="00BA7278" w:rsidP="00BA7278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Oceniając naruszenie praw i wolności należy odnieść się do szkód fizycznych oraz strat o charakterze materialnym i niematerialnym.</w:t>
      </w:r>
    </w:p>
    <w:p w14:paraId="4B806046" w14:textId="6BF98C4A" w:rsidR="00F35FD7" w:rsidRDefault="00F35FD7" w:rsidP="00F35FD7">
      <w:pPr>
        <w:rPr>
          <w:rFonts w:ascii="Arial" w:hAnsi="Arial" w:cs="Arial"/>
          <w:sz w:val="24"/>
          <w:szCs w:val="24"/>
        </w:rPr>
      </w:pPr>
    </w:p>
    <w:p w14:paraId="5F87E632" w14:textId="7B96FAFB" w:rsidR="00F35FD7" w:rsidRDefault="00F35FD7" w:rsidP="00F35FD7">
      <w:pPr>
        <w:rPr>
          <w:rFonts w:ascii="Arial" w:hAnsi="Arial" w:cs="Arial"/>
          <w:sz w:val="24"/>
          <w:szCs w:val="24"/>
        </w:rPr>
      </w:pPr>
    </w:p>
    <w:p w14:paraId="6A2761D2" w14:textId="03E0B233" w:rsidR="00F35FD7" w:rsidRDefault="00F35FD7" w:rsidP="00F35FD7">
      <w:pPr>
        <w:rPr>
          <w:rFonts w:ascii="Arial" w:hAnsi="Arial" w:cs="Arial"/>
          <w:sz w:val="24"/>
          <w:szCs w:val="24"/>
        </w:rPr>
      </w:pPr>
    </w:p>
    <w:p w14:paraId="5E20FA22" w14:textId="77777777" w:rsidR="00F35FD7" w:rsidRPr="00F35FD7" w:rsidRDefault="00F35FD7" w:rsidP="00F35FD7">
      <w:pPr>
        <w:rPr>
          <w:rFonts w:ascii="Arial" w:hAnsi="Arial" w:cs="Arial"/>
          <w:sz w:val="24"/>
          <w:szCs w:val="24"/>
        </w:rPr>
      </w:pPr>
    </w:p>
    <w:p w14:paraId="5C8592A1" w14:textId="3B1B4AED" w:rsidR="00DA3AD6" w:rsidRDefault="00DA3AD6" w:rsidP="00BA7278">
      <w:pPr>
        <w:rPr>
          <w:rFonts w:ascii="Arial" w:hAnsi="Arial" w:cs="Arial"/>
          <w:sz w:val="24"/>
          <w:szCs w:val="24"/>
        </w:rPr>
      </w:pPr>
    </w:p>
    <w:p w14:paraId="6C40FBA2" w14:textId="09EC2067" w:rsidR="00975A57" w:rsidRDefault="00975A57" w:rsidP="00975A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 Odpowiedzialność za przeprowadzenie DPIA w podmiocie leczniczym </w:t>
      </w:r>
    </w:p>
    <w:p w14:paraId="5A56459B" w14:textId="4DBC9E48" w:rsidR="00975A57" w:rsidRDefault="00975A57" w:rsidP="00BA7278">
      <w:pPr>
        <w:rPr>
          <w:rFonts w:ascii="Arial" w:hAnsi="Arial" w:cs="Arial"/>
          <w:sz w:val="24"/>
          <w:szCs w:val="24"/>
        </w:rPr>
      </w:pPr>
    </w:p>
    <w:p w14:paraId="6DB2D031" w14:textId="57D1203D" w:rsidR="00975A57" w:rsidRPr="00F35FD7" w:rsidRDefault="00975A57" w:rsidP="00975A57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35FD7">
        <w:rPr>
          <w:rFonts w:ascii="Arial" w:hAnsi="Arial" w:cs="Arial"/>
          <w:sz w:val="24"/>
          <w:szCs w:val="24"/>
        </w:rPr>
        <w:t xml:space="preserve">Za przeprowadzanie </w:t>
      </w:r>
      <w:r w:rsidR="00F35FD7">
        <w:rPr>
          <w:rFonts w:ascii="Arial" w:hAnsi="Arial" w:cs="Arial"/>
          <w:sz w:val="24"/>
          <w:szCs w:val="24"/>
        </w:rPr>
        <w:t>DPIA oraz wszelką weryfikację konieczności jej przeprowadzania</w:t>
      </w:r>
      <w:r w:rsidRPr="00F35FD7">
        <w:rPr>
          <w:rFonts w:ascii="Arial" w:hAnsi="Arial" w:cs="Arial"/>
          <w:sz w:val="24"/>
          <w:szCs w:val="24"/>
        </w:rPr>
        <w:t xml:space="preserve"> odpowi</w:t>
      </w:r>
      <w:r w:rsidR="00F35FD7">
        <w:rPr>
          <w:rFonts w:ascii="Arial" w:hAnsi="Arial" w:cs="Arial"/>
          <w:sz w:val="24"/>
          <w:szCs w:val="24"/>
        </w:rPr>
        <w:t>edzialność ponosi Administrator. Może on wyznaczyć dodatkowo pracownika, który będzie odpowiadał za realizację DPIA</w:t>
      </w:r>
      <w:r w:rsidR="009762C6">
        <w:rPr>
          <w:rFonts w:ascii="Arial" w:hAnsi="Arial" w:cs="Arial"/>
          <w:sz w:val="24"/>
          <w:szCs w:val="24"/>
        </w:rPr>
        <w:t xml:space="preserve">, </w:t>
      </w:r>
      <w:r w:rsidRPr="00F35FD7">
        <w:rPr>
          <w:rFonts w:ascii="Arial" w:hAnsi="Arial" w:cs="Arial"/>
          <w:sz w:val="24"/>
          <w:szCs w:val="24"/>
        </w:rPr>
        <w:t xml:space="preserve">jednak odpowiedzialność za brak lub niewłaściwe przeprowadzenie DPIA ponosi ADO. </w:t>
      </w:r>
    </w:p>
    <w:p w14:paraId="7FE9CD06" w14:textId="388BA10C" w:rsidR="00975A57" w:rsidRPr="00F35FD7" w:rsidRDefault="00975A57" w:rsidP="00975A57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35FD7">
        <w:rPr>
          <w:rFonts w:ascii="Arial" w:hAnsi="Arial" w:cs="Arial"/>
          <w:sz w:val="24"/>
          <w:szCs w:val="24"/>
        </w:rPr>
        <w:t>Administrator danych przeprowadzając DPIA ma obowiązek konsultowania się z</w:t>
      </w:r>
      <w:r w:rsidR="009762C6">
        <w:rPr>
          <w:rFonts w:ascii="Arial" w:hAnsi="Arial" w:cs="Arial"/>
          <w:sz w:val="24"/>
          <w:szCs w:val="24"/>
        </w:rPr>
        <w:t xml:space="preserve"> Inspektorem Ochrony Danych Osobowych</w:t>
      </w:r>
      <w:r w:rsidRPr="00F35FD7">
        <w:rPr>
          <w:rFonts w:ascii="Arial" w:hAnsi="Arial" w:cs="Arial"/>
          <w:sz w:val="24"/>
          <w:szCs w:val="24"/>
        </w:rPr>
        <w:t>.</w:t>
      </w:r>
    </w:p>
    <w:p w14:paraId="476B6EAB" w14:textId="458AA695" w:rsidR="00975A57" w:rsidRPr="00F35FD7" w:rsidRDefault="009762C6" w:rsidP="00975A57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IOD oceni, że Administrator powinien przeprowadzić DPIA dla jakiegoś procesu w podmiocie leczniczym, winien poinformować o tym pisemnie Administratora.</w:t>
      </w:r>
      <w:r w:rsidR="00975A57" w:rsidRPr="00F35FD7">
        <w:rPr>
          <w:rFonts w:ascii="Arial" w:hAnsi="Arial" w:cs="Arial"/>
          <w:sz w:val="24"/>
          <w:szCs w:val="24"/>
        </w:rPr>
        <w:t xml:space="preserve"> Ostateczna decyzja co do konieczności przeprowadzenia DPIA spoczywa na A</w:t>
      </w:r>
      <w:r>
        <w:rPr>
          <w:rFonts w:ascii="Arial" w:hAnsi="Arial" w:cs="Arial"/>
          <w:sz w:val="24"/>
          <w:szCs w:val="24"/>
        </w:rPr>
        <w:t>dministratorze</w:t>
      </w:r>
      <w:r w:rsidR="00975A57" w:rsidRPr="00F35FD7">
        <w:rPr>
          <w:rFonts w:ascii="Arial" w:hAnsi="Arial" w:cs="Arial"/>
          <w:sz w:val="24"/>
          <w:szCs w:val="24"/>
        </w:rPr>
        <w:t>.</w:t>
      </w:r>
    </w:p>
    <w:p w14:paraId="7F8169F6" w14:textId="5354CA7F" w:rsidR="00975A57" w:rsidRDefault="00975A57" w:rsidP="00975A57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35FD7">
        <w:rPr>
          <w:rFonts w:ascii="Arial" w:hAnsi="Arial" w:cs="Arial"/>
          <w:sz w:val="24"/>
          <w:szCs w:val="24"/>
        </w:rPr>
        <w:t>A</w:t>
      </w:r>
      <w:r w:rsidR="00E70CB6">
        <w:rPr>
          <w:rFonts w:ascii="Arial" w:hAnsi="Arial" w:cs="Arial"/>
          <w:sz w:val="24"/>
          <w:szCs w:val="24"/>
        </w:rPr>
        <w:t>dministrator</w:t>
      </w:r>
      <w:r w:rsidRPr="00F35FD7">
        <w:rPr>
          <w:rFonts w:ascii="Arial" w:hAnsi="Arial" w:cs="Arial"/>
          <w:sz w:val="24"/>
          <w:szCs w:val="24"/>
        </w:rPr>
        <w:t xml:space="preserve"> może również zasięgnąć opinii w kwestii oceny skutków dla ochrony danych wśród osób, których dane osobowe są przetwarzane.</w:t>
      </w:r>
    </w:p>
    <w:p w14:paraId="60C0477D" w14:textId="15DFFAE8" w:rsidR="00E941B9" w:rsidRDefault="00CA6EEA" w:rsidP="00E941B9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czynność związane z przeprowadzaniem </w:t>
      </w:r>
      <w:r w:rsidR="00E941B9">
        <w:rPr>
          <w:rFonts w:ascii="Arial" w:hAnsi="Arial" w:cs="Arial"/>
          <w:sz w:val="24"/>
          <w:szCs w:val="24"/>
        </w:rPr>
        <w:t>DPIA lub oceną konieczności jej przeprowadzenia są dokumentowane i odbywają się pisemnie.</w:t>
      </w:r>
    </w:p>
    <w:p w14:paraId="4CA94A0E" w14:textId="53368F0D" w:rsidR="00E941B9" w:rsidRDefault="00E941B9" w:rsidP="00E941B9">
      <w:pPr>
        <w:pStyle w:val="Akapitzlist"/>
        <w:numPr>
          <w:ilvl w:val="0"/>
          <w:numId w:val="3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Administrator zasięga opinii IOD lub innych pracowników podmiotu leczniczego w zakresie DPIA musi pozostawić im rozsądny termin, nie krótszy niż 7 dni roboczych, na przekazanie przez nich pisemnej opinii.</w:t>
      </w:r>
    </w:p>
    <w:p w14:paraId="6F1AD1C4" w14:textId="77777777" w:rsidR="00A0162A" w:rsidRPr="00A0162A" w:rsidRDefault="00A0162A" w:rsidP="00A0162A">
      <w:pPr>
        <w:rPr>
          <w:rFonts w:ascii="Arial" w:hAnsi="Arial" w:cs="Arial"/>
          <w:sz w:val="24"/>
          <w:szCs w:val="24"/>
        </w:rPr>
      </w:pPr>
    </w:p>
    <w:p w14:paraId="52CD6F9A" w14:textId="2E989525" w:rsidR="00BA7278" w:rsidRPr="00A0162A" w:rsidRDefault="00A0162A" w:rsidP="00BA7278">
      <w:pPr>
        <w:rPr>
          <w:rFonts w:ascii="Arial" w:hAnsi="Arial" w:cs="Arial"/>
          <w:b/>
          <w:sz w:val="24"/>
          <w:szCs w:val="24"/>
        </w:rPr>
      </w:pPr>
      <w:r w:rsidRPr="00A0162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A016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Elementy</w:t>
      </w:r>
      <w:r w:rsidRPr="00A0162A">
        <w:rPr>
          <w:rFonts w:ascii="Arial" w:hAnsi="Arial" w:cs="Arial"/>
          <w:b/>
          <w:sz w:val="24"/>
          <w:szCs w:val="24"/>
        </w:rPr>
        <w:t xml:space="preserve"> DPIA w podmiocie leczniczym </w:t>
      </w:r>
    </w:p>
    <w:p w14:paraId="0BBEA0F0" w14:textId="77777777" w:rsidR="00A0162A" w:rsidRPr="00A0162A" w:rsidRDefault="00A0162A" w:rsidP="002B1505">
      <w:pPr>
        <w:pStyle w:val="Akapitzlist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Ocena wpływu na ochronę danych osobowych zawiera co najmniej następujące elementy:</w:t>
      </w:r>
    </w:p>
    <w:p w14:paraId="2B30D47B" w14:textId="77777777" w:rsidR="00A0162A" w:rsidRPr="00A0162A" w:rsidRDefault="00A0162A" w:rsidP="002B1505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Systematyczny opis planowanej operacji przetwarzania danych osobowych</w:t>
      </w:r>
    </w:p>
    <w:p w14:paraId="0B543C7E" w14:textId="77777777" w:rsidR="00A0162A" w:rsidRPr="00A0162A" w:rsidRDefault="00A0162A" w:rsidP="002B1505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Ocenę niezbędności i proporcjonalności przetwarzania danych w stosunku do celów przetwarzania,</w:t>
      </w:r>
    </w:p>
    <w:p w14:paraId="39A15E07" w14:textId="77777777" w:rsidR="00A0162A" w:rsidRPr="00A0162A" w:rsidRDefault="00A0162A" w:rsidP="002B1505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Analizę i ocenę ryzyka w odniesieniu do potencjalnego naruszenia praw i wolności osób fizycznych wraz ze środkami minimalizującymi to ryzyko oraz uzasadnieniem dokonanego wyboru środków,</w:t>
      </w:r>
    </w:p>
    <w:p w14:paraId="7EA10B7B" w14:textId="1971984E" w:rsidR="00A0162A" w:rsidRPr="00A0162A" w:rsidRDefault="00A0162A" w:rsidP="002B1505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Określenie uczestników procesu DPIA,</w:t>
      </w:r>
    </w:p>
    <w:p w14:paraId="03425ED4" w14:textId="77777777" w:rsidR="00A0162A" w:rsidRPr="00A0162A" w:rsidRDefault="00A0162A" w:rsidP="002B1505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Wyniki konsultacji z Inspektorem ochrony danych,</w:t>
      </w:r>
    </w:p>
    <w:p w14:paraId="243CA948" w14:textId="53DDB682" w:rsidR="00A0162A" w:rsidRDefault="00A0162A" w:rsidP="002B1505">
      <w:pPr>
        <w:pStyle w:val="Akapitzlist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Opinie osób, których dane dotyczą lub ich przed</w:t>
      </w:r>
      <w:r>
        <w:rPr>
          <w:rFonts w:ascii="Arial" w:hAnsi="Arial" w:cs="Arial"/>
          <w:sz w:val="24"/>
          <w:szCs w:val="24"/>
        </w:rPr>
        <w:t>stawicieli, gdy ich zasięgnięto.</w:t>
      </w:r>
    </w:p>
    <w:p w14:paraId="480DAB10" w14:textId="1E27FE76" w:rsidR="00A0162A" w:rsidRDefault="00A0162A" w:rsidP="00A0162A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 xml:space="preserve">Szczegółowy opis części elementów DPIA znajduje się w załączniku numer </w:t>
      </w:r>
      <w:r>
        <w:rPr>
          <w:rFonts w:ascii="Arial" w:hAnsi="Arial" w:cs="Arial"/>
          <w:sz w:val="24"/>
          <w:szCs w:val="24"/>
        </w:rPr>
        <w:t>2 D.</w:t>
      </w:r>
    </w:p>
    <w:p w14:paraId="4F68598E" w14:textId="3A84D92B" w:rsidR="00A0162A" w:rsidRPr="00A0162A" w:rsidRDefault="00A0162A" w:rsidP="00A0162A">
      <w:pPr>
        <w:pStyle w:val="Akapitzlis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Jeżeli przeprowadzona w ramach DPIA analiza ryzyka wskazuje na wysokie ryzyko szczątkowe, Administrator ma obowiązek zwrócić się pisemnie o uprzednie konsultacje w celu przetwarzania do organu nadzorczego.</w:t>
      </w:r>
    </w:p>
    <w:p w14:paraId="71408722" w14:textId="73FFF9F6" w:rsidR="00A0162A" w:rsidRPr="00A0162A" w:rsidRDefault="00A0162A" w:rsidP="00A0162A">
      <w:pPr>
        <w:pStyle w:val="Akapitzlist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0162A">
        <w:rPr>
          <w:rFonts w:ascii="Arial" w:hAnsi="Arial" w:cs="Arial"/>
          <w:sz w:val="24"/>
          <w:szCs w:val="24"/>
        </w:rPr>
        <w:t>Administrator zwraca się do organu nadzorczego niezwłocznie, jednak nie później niż 14 dni od zakończenia oceny skutków operacji dla ochrony danych osobowych. A</w:t>
      </w:r>
      <w:r>
        <w:rPr>
          <w:rFonts w:ascii="Arial" w:hAnsi="Arial" w:cs="Arial"/>
          <w:sz w:val="24"/>
          <w:szCs w:val="24"/>
        </w:rPr>
        <w:t>dministrator</w:t>
      </w:r>
      <w:r w:rsidRPr="00A0162A">
        <w:rPr>
          <w:rFonts w:ascii="Arial" w:hAnsi="Arial" w:cs="Arial"/>
          <w:sz w:val="24"/>
          <w:szCs w:val="24"/>
        </w:rPr>
        <w:t xml:space="preserve"> dostarcza organowi nadzorczemu dokumentację DPIA.</w:t>
      </w:r>
    </w:p>
    <w:p w14:paraId="4CD8C2DA" w14:textId="78BC6DF8" w:rsidR="00BA7278" w:rsidRDefault="00BA7278" w:rsidP="00BA7278">
      <w:pPr>
        <w:rPr>
          <w:rFonts w:ascii="Arial" w:hAnsi="Arial" w:cs="Arial"/>
          <w:sz w:val="24"/>
          <w:szCs w:val="24"/>
        </w:rPr>
      </w:pPr>
    </w:p>
    <w:p w14:paraId="6FD3B3DC" w14:textId="44682C13" w:rsidR="004345B9" w:rsidRDefault="004345B9" w:rsidP="00BA7278">
      <w:pPr>
        <w:rPr>
          <w:rFonts w:ascii="Arial" w:hAnsi="Arial" w:cs="Arial"/>
          <w:sz w:val="24"/>
          <w:szCs w:val="24"/>
        </w:rPr>
      </w:pPr>
    </w:p>
    <w:p w14:paraId="6B6FBFD3" w14:textId="391EE336" w:rsidR="004345B9" w:rsidRDefault="004345B9" w:rsidP="00BA7278">
      <w:pPr>
        <w:rPr>
          <w:rFonts w:ascii="Arial" w:hAnsi="Arial" w:cs="Arial"/>
          <w:sz w:val="24"/>
          <w:szCs w:val="24"/>
        </w:rPr>
      </w:pPr>
    </w:p>
    <w:p w14:paraId="074E4575" w14:textId="72717A27" w:rsidR="002B1505" w:rsidRDefault="002B1505" w:rsidP="002B15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A016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Publikacja DPIA</w:t>
      </w:r>
    </w:p>
    <w:p w14:paraId="04119E39" w14:textId="152A799C" w:rsidR="002B1505" w:rsidRDefault="002B1505" w:rsidP="002B1505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Zaleca się Administratorowi publikację wyników przeprowadzanej DPIA jeżeli operacje przetwarzania mają istotny wpływ na liczną grupę odbiorców.</w:t>
      </w:r>
    </w:p>
    <w:p w14:paraId="19880EB2" w14:textId="3F119021" w:rsidR="002B1505" w:rsidRPr="002B1505" w:rsidRDefault="002B1505" w:rsidP="002B1505">
      <w:pPr>
        <w:pStyle w:val="Akapitzlis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Publikacji może podlegać całość lub część dokumentu albo jego podsumowanie z zastrzeżeniem braku konieczności ujawniania systemów zabezpieczeń lub innych informacji poufnych lub stanowiących tajemnicę podmiotu leczniczego.</w:t>
      </w:r>
    </w:p>
    <w:p w14:paraId="166F7966" w14:textId="77777777" w:rsidR="004345B9" w:rsidRDefault="004345B9" w:rsidP="004345B9">
      <w:pPr>
        <w:pStyle w:val="Nagwek1"/>
        <w:numPr>
          <w:ilvl w:val="0"/>
          <w:numId w:val="0"/>
        </w:numPr>
        <w:rPr>
          <w:sz w:val="24"/>
          <w:szCs w:val="24"/>
        </w:rPr>
      </w:pPr>
    </w:p>
    <w:p w14:paraId="1300A7BE" w14:textId="77777777" w:rsidR="00BA7278" w:rsidRPr="00BA7278" w:rsidRDefault="00BA7278" w:rsidP="00BA72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5A970D38" w14:textId="77777777" w:rsidR="00BA7278" w:rsidRPr="00BA7278" w:rsidRDefault="00BA7278" w:rsidP="00BA7278">
      <w:pPr>
        <w:rPr>
          <w:rFonts w:ascii="Arial" w:hAnsi="Arial" w:cs="Arial"/>
          <w:sz w:val="24"/>
          <w:szCs w:val="24"/>
        </w:rPr>
      </w:pPr>
    </w:p>
    <w:p w14:paraId="181A4B0C" w14:textId="2F54BD43" w:rsidR="0079506B" w:rsidRDefault="0079506B" w:rsidP="0079506B">
      <w:pPr>
        <w:spacing w:line="360" w:lineRule="auto"/>
        <w:rPr>
          <w:rFonts w:ascii="Arial" w:hAnsi="Arial" w:cs="Arial"/>
          <w:sz w:val="24"/>
          <w:szCs w:val="24"/>
        </w:rPr>
      </w:pPr>
    </w:p>
    <w:p w14:paraId="351A7910" w14:textId="703BF89F" w:rsidR="00A34E9D" w:rsidRDefault="00A34E9D" w:rsidP="00A34E9D">
      <w:pPr>
        <w:rPr>
          <w:bCs/>
        </w:rPr>
      </w:pPr>
    </w:p>
    <w:p w14:paraId="53A3376C" w14:textId="77777777" w:rsidR="00A34E9D" w:rsidRDefault="00A34E9D" w:rsidP="00A34E9D">
      <w:pPr>
        <w:rPr>
          <w:bCs/>
        </w:rPr>
      </w:pPr>
    </w:p>
    <w:p w14:paraId="3792178E" w14:textId="77777777" w:rsidR="00A34E9D" w:rsidRDefault="00A34E9D" w:rsidP="00A34E9D">
      <w:pPr>
        <w:rPr>
          <w:bCs/>
        </w:rPr>
      </w:pPr>
    </w:p>
    <w:p w14:paraId="7A9E7CF2" w14:textId="77777777" w:rsidR="00A34E9D" w:rsidRDefault="00A34E9D" w:rsidP="00A34E9D">
      <w:pPr>
        <w:rPr>
          <w:bCs/>
        </w:rPr>
      </w:pPr>
    </w:p>
    <w:p w14:paraId="2D2C525E" w14:textId="77777777" w:rsidR="00A34E9D" w:rsidRDefault="00A34E9D" w:rsidP="00A34E9D">
      <w:pPr>
        <w:rPr>
          <w:bCs/>
        </w:rPr>
      </w:pPr>
    </w:p>
    <w:p w14:paraId="18609CC5" w14:textId="77777777" w:rsidR="00A34E9D" w:rsidRDefault="00A34E9D" w:rsidP="00A34E9D">
      <w:pPr>
        <w:rPr>
          <w:bCs/>
        </w:rPr>
      </w:pPr>
    </w:p>
    <w:p w14:paraId="4D6AE305" w14:textId="77777777" w:rsidR="00A34E9D" w:rsidRDefault="00A34E9D" w:rsidP="00A34E9D">
      <w:pPr>
        <w:rPr>
          <w:bCs/>
        </w:rPr>
      </w:pPr>
    </w:p>
    <w:p w14:paraId="18940C2A" w14:textId="77777777" w:rsidR="00A34E9D" w:rsidRDefault="00A34E9D" w:rsidP="00A34E9D">
      <w:pPr>
        <w:rPr>
          <w:bCs/>
        </w:rPr>
      </w:pPr>
    </w:p>
    <w:p w14:paraId="02A35677" w14:textId="77777777" w:rsidR="00A34E9D" w:rsidRDefault="00A34E9D" w:rsidP="00A34E9D">
      <w:pPr>
        <w:rPr>
          <w:bCs/>
        </w:rPr>
      </w:pPr>
    </w:p>
    <w:p w14:paraId="4F38D757" w14:textId="77777777" w:rsidR="00A34E9D" w:rsidRDefault="00A34E9D" w:rsidP="00A34E9D">
      <w:pPr>
        <w:rPr>
          <w:bCs/>
        </w:rPr>
      </w:pPr>
    </w:p>
    <w:p w14:paraId="52AA02B8" w14:textId="77777777" w:rsidR="00A34E9D" w:rsidRDefault="00A34E9D" w:rsidP="00A34E9D">
      <w:pPr>
        <w:rPr>
          <w:bCs/>
        </w:rPr>
      </w:pPr>
    </w:p>
    <w:p w14:paraId="5F371CB7" w14:textId="77777777" w:rsidR="00A34E9D" w:rsidRDefault="00A34E9D" w:rsidP="00A34E9D">
      <w:pPr>
        <w:rPr>
          <w:bCs/>
        </w:rPr>
      </w:pPr>
    </w:p>
    <w:p w14:paraId="60558A72" w14:textId="77777777" w:rsidR="00A34E9D" w:rsidRDefault="00A34E9D" w:rsidP="00A34E9D">
      <w:pPr>
        <w:rPr>
          <w:bCs/>
        </w:rPr>
      </w:pPr>
    </w:p>
    <w:p w14:paraId="4CAD1BD1" w14:textId="77777777" w:rsidR="00A34E9D" w:rsidRDefault="00A34E9D" w:rsidP="00A34E9D">
      <w:pPr>
        <w:rPr>
          <w:bCs/>
        </w:rPr>
      </w:pPr>
    </w:p>
    <w:p w14:paraId="28110A0D" w14:textId="77777777" w:rsidR="00A34E9D" w:rsidRDefault="00A34E9D" w:rsidP="00A34E9D">
      <w:pPr>
        <w:rPr>
          <w:bCs/>
        </w:rPr>
      </w:pPr>
    </w:p>
    <w:p w14:paraId="4672E7C8" w14:textId="230BB488" w:rsidR="00A34E9D" w:rsidRPr="007A463A" w:rsidRDefault="00A34E9D" w:rsidP="002B1505">
      <w:pPr>
        <w:pStyle w:val="Akapitzlist"/>
        <w:spacing w:after="160" w:line="259" w:lineRule="auto"/>
        <w:jc w:val="left"/>
      </w:pPr>
      <w:bookmarkStart w:id="0" w:name="_GoBack"/>
      <w:bookmarkEnd w:id="0"/>
    </w:p>
    <w:p w14:paraId="23332C37" w14:textId="17218393" w:rsidR="00162928" w:rsidRPr="00C8629C" w:rsidRDefault="00162928" w:rsidP="00C8629C"/>
    <w:sectPr w:rsidR="00162928" w:rsidRPr="00C8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0C1"/>
    <w:multiLevelType w:val="hybridMultilevel"/>
    <w:tmpl w:val="60AA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780"/>
    <w:multiLevelType w:val="hybridMultilevel"/>
    <w:tmpl w:val="7CE8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3579"/>
    <w:multiLevelType w:val="hybridMultilevel"/>
    <w:tmpl w:val="1D8A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30E3"/>
    <w:multiLevelType w:val="hybridMultilevel"/>
    <w:tmpl w:val="9E4AE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913"/>
    <w:multiLevelType w:val="hybridMultilevel"/>
    <w:tmpl w:val="5726C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052C"/>
    <w:multiLevelType w:val="hybridMultilevel"/>
    <w:tmpl w:val="A8C2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0F07"/>
    <w:multiLevelType w:val="hybridMultilevel"/>
    <w:tmpl w:val="4614E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346E1"/>
    <w:multiLevelType w:val="hybridMultilevel"/>
    <w:tmpl w:val="C74EB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56F1"/>
    <w:multiLevelType w:val="hybridMultilevel"/>
    <w:tmpl w:val="406C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0379"/>
    <w:multiLevelType w:val="hybridMultilevel"/>
    <w:tmpl w:val="A352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010D"/>
    <w:multiLevelType w:val="hybridMultilevel"/>
    <w:tmpl w:val="ED66F1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6AB3"/>
    <w:multiLevelType w:val="hybridMultilevel"/>
    <w:tmpl w:val="D000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3DC1"/>
    <w:multiLevelType w:val="hybridMultilevel"/>
    <w:tmpl w:val="DF5C80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55631F"/>
    <w:multiLevelType w:val="hybridMultilevel"/>
    <w:tmpl w:val="72025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23C84"/>
    <w:multiLevelType w:val="hybridMultilevel"/>
    <w:tmpl w:val="EC66A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64A4F"/>
    <w:multiLevelType w:val="hybridMultilevel"/>
    <w:tmpl w:val="0B9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78D0"/>
    <w:multiLevelType w:val="hybridMultilevel"/>
    <w:tmpl w:val="A8C2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A2239"/>
    <w:multiLevelType w:val="hybridMultilevel"/>
    <w:tmpl w:val="58AA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1DBC"/>
    <w:multiLevelType w:val="hybridMultilevel"/>
    <w:tmpl w:val="7B84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68AE"/>
    <w:multiLevelType w:val="hybridMultilevel"/>
    <w:tmpl w:val="8CA8A054"/>
    <w:lvl w:ilvl="0" w:tplc="0EEA9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93264"/>
    <w:multiLevelType w:val="hybridMultilevel"/>
    <w:tmpl w:val="C4964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2556F"/>
    <w:multiLevelType w:val="hybridMultilevel"/>
    <w:tmpl w:val="A974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214F"/>
    <w:multiLevelType w:val="hybridMultilevel"/>
    <w:tmpl w:val="B0F411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4003EB"/>
    <w:multiLevelType w:val="hybridMultilevel"/>
    <w:tmpl w:val="080C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3B82"/>
    <w:multiLevelType w:val="hybridMultilevel"/>
    <w:tmpl w:val="6FE6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D093D"/>
    <w:multiLevelType w:val="hybridMultilevel"/>
    <w:tmpl w:val="EEACF2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865E08"/>
    <w:multiLevelType w:val="hybridMultilevel"/>
    <w:tmpl w:val="2F96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229C4"/>
    <w:multiLevelType w:val="hybridMultilevel"/>
    <w:tmpl w:val="0524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35BE7"/>
    <w:multiLevelType w:val="hybridMultilevel"/>
    <w:tmpl w:val="2F96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25740"/>
    <w:multiLevelType w:val="hybridMultilevel"/>
    <w:tmpl w:val="8FCC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6D13"/>
    <w:multiLevelType w:val="hybridMultilevel"/>
    <w:tmpl w:val="EBDE2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E72087"/>
    <w:multiLevelType w:val="hybridMultilevel"/>
    <w:tmpl w:val="33A0D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F5474A"/>
    <w:multiLevelType w:val="hybridMultilevel"/>
    <w:tmpl w:val="24A0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01C0E"/>
    <w:multiLevelType w:val="hybridMultilevel"/>
    <w:tmpl w:val="8B52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06C0E"/>
    <w:multiLevelType w:val="hybridMultilevel"/>
    <w:tmpl w:val="041C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33C"/>
    <w:multiLevelType w:val="hybridMultilevel"/>
    <w:tmpl w:val="E0CA34F4"/>
    <w:lvl w:ilvl="0" w:tplc="11A0885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C13B3"/>
    <w:multiLevelType w:val="hybridMultilevel"/>
    <w:tmpl w:val="7CE86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313B2"/>
    <w:multiLevelType w:val="hybridMultilevel"/>
    <w:tmpl w:val="E0C2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F44D6"/>
    <w:multiLevelType w:val="hybridMultilevel"/>
    <w:tmpl w:val="FA704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831FE"/>
    <w:multiLevelType w:val="hybridMultilevel"/>
    <w:tmpl w:val="16AE4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3"/>
  </w:num>
  <w:num w:numId="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4"/>
  </w:num>
  <w:num w:numId="7">
    <w:abstractNumId w:val="35"/>
  </w:num>
  <w:num w:numId="8">
    <w:abstractNumId w:val="23"/>
  </w:num>
  <w:num w:numId="9">
    <w:abstractNumId w:val="36"/>
  </w:num>
  <w:num w:numId="10">
    <w:abstractNumId w:val="1"/>
  </w:num>
  <w:num w:numId="11">
    <w:abstractNumId w:val="32"/>
  </w:num>
  <w:num w:numId="12">
    <w:abstractNumId w:val="6"/>
  </w:num>
  <w:num w:numId="13">
    <w:abstractNumId w:val="11"/>
  </w:num>
  <w:num w:numId="14">
    <w:abstractNumId w:val="26"/>
  </w:num>
  <w:num w:numId="15">
    <w:abstractNumId w:val="28"/>
  </w:num>
  <w:num w:numId="16">
    <w:abstractNumId w:val="20"/>
  </w:num>
  <w:num w:numId="17">
    <w:abstractNumId w:val="21"/>
  </w:num>
  <w:num w:numId="18">
    <w:abstractNumId w:val="15"/>
  </w:num>
  <w:num w:numId="19">
    <w:abstractNumId w:val="8"/>
  </w:num>
  <w:num w:numId="20">
    <w:abstractNumId w:val="2"/>
  </w:num>
  <w:num w:numId="21">
    <w:abstractNumId w:val="19"/>
  </w:num>
  <w:num w:numId="22">
    <w:abstractNumId w:val="29"/>
  </w:num>
  <w:num w:numId="23">
    <w:abstractNumId w:val="37"/>
  </w:num>
  <w:num w:numId="24">
    <w:abstractNumId w:val="22"/>
  </w:num>
  <w:num w:numId="25">
    <w:abstractNumId w:val="31"/>
  </w:num>
  <w:num w:numId="26">
    <w:abstractNumId w:val="9"/>
  </w:num>
  <w:num w:numId="27">
    <w:abstractNumId w:val="25"/>
  </w:num>
  <w:num w:numId="28">
    <w:abstractNumId w:val="18"/>
  </w:num>
  <w:num w:numId="29">
    <w:abstractNumId w:val="12"/>
  </w:num>
  <w:num w:numId="30">
    <w:abstractNumId w:val="3"/>
  </w:num>
  <w:num w:numId="31">
    <w:abstractNumId w:val="0"/>
  </w:num>
  <w:num w:numId="32">
    <w:abstractNumId w:val="34"/>
  </w:num>
  <w:num w:numId="33">
    <w:abstractNumId w:val="30"/>
  </w:num>
  <w:num w:numId="34">
    <w:abstractNumId w:val="13"/>
  </w:num>
  <w:num w:numId="35">
    <w:abstractNumId w:val="38"/>
  </w:num>
  <w:num w:numId="36">
    <w:abstractNumId w:val="4"/>
  </w:num>
  <w:num w:numId="37">
    <w:abstractNumId w:val="17"/>
  </w:num>
  <w:num w:numId="38">
    <w:abstractNumId w:val="16"/>
  </w:num>
  <w:num w:numId="39">
    <w:abstractNumId w:val="39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84"/>
    <w:rsid w:val="000222C9"/>
    <w:rsid w:val="00031822"/>
    <w:rsid w:val="00162928"/>
    <w:rsid w:val="002072C6"/>
    <w:rsid w:val="00276445"/>
    <w:rsid w:val="002B1505"/>
    <w:rsid w:val="002B722C"/>
    <w:rsid w:val="00306D72"/>
    <w:rsid w:val="003546E4"/>
    <w:rsid w:val="003B307E"/>
    <w:rsid w:val="004345B9"/>
    <w:rsid w:val="004844B1"/>
    <w:rsid w:val="004C208F"/>
    <w:rsid w:val="004E31A4"/>
    <w:rsid w:val="004E7F16"/>
    <w:rsid w:val="0079506B"/>
    <w:rsid w:val="007A796F"/>
    <w:rsid w:val="0080114B"/>
    <w:rsid w:val="00975A57"/>
    <w:rsid w:val="009762C6"/>
    <w:rsid w:val="009C160A"/>
    <w:rsid w:val="009F4584"/>
    <w:rsid w:val="009F73B9"/>
    <w:rsid w:val="00A0162A"/>
    <w:rsid w:val="00A076E4"/>
    <w:rsid w:val="00A34E9D"/>
    <w:rsid w:val="00A92539"/>
    <w:rsid w:val="00B459C8"/>
    <w:rsid w:val="00BA7278"/>
    <w:rsid w:val="00BC7295"/>
    <w:rsid w:val="00C6656B"/>
    <w:rsid w:val="00C8629C"/>
    <w:rsid w:val="00CA6EEA"/>
    <w:rsid w:val="00CB3AD0"/>
    <w:rsid w:val="00D578C6"/>
    <w:rsid w:val="00DA3AD6"/>
    <w:rsid w:val="00E03F19"/>
    <w:rsid w:val="00E70CB6"/>
    <w:rsid w:val="00E941B9"/>
    <w:rsid w:val="00EC25EF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9689"/>
  <w15:chartTrackingRefBased/>
  <w15:docId w15:val="{B5C9169A-72F4-450D-B89A-3910C37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qFormat/>
    <w:rsid w:val="00162928"/>
    <w:pPr>
      <w:keepLines w:val="0"/>
      <w:numPr>
        <w:numId w:val="4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iCs/>
      <w:color w:val="auto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2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0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62928"/>
    <w:rPr>
      <w:rFonts w:ascii="Arial" w:eastAsia="Times New Roman" w:hAnsi="Arial" w:cs="Arial"/>
      <w:b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6292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29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5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34E9D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34E9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34E9D"/>
    <w:rPr>
      <w:color w:val="0563C1" w:themeColor="hyperlink"/>
      <w:u w:val="single"/>
    </w:rPr>
  </w:style>
  <w:style w:type="paragraph" w:customStyle="1" w:styleId="Normalny1">
    <w:name w:val="Normalny1"/>
    <w:basedOn w:val="Normalny"/>
    <w:rsid w:val="00BA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9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5</cp:revision>
  <cp:lastPrinted>2018-01-18T10:58:00Z</cp:lastPrinted>
  <dcterms:created xsi:type="dcterms:W3CDTF">2018-03-18T10:18:00Z</dcterms:created>
  <dcterms:modified xsi:type="dcterms:W3CDTF">2018-04-13T05:17:00Z</dcterms:modified>
</cp:coreProperties>
</file>