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67" w:type="dxa"/>
        <w:tblInd w:w="1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5093"/>
      </w:tblGrid>
      <w:tr w:rsidR="0032250D" w:rsidRPr="0032250D" w14:paraId="578AC122" w14:textId="77777777" w:rsidTr="0032250D">
        <w:trPr>
          <w:trHeight w:val="600"/>
        </w:trPr>
        <w:tc>
          <w:tcPr>
            <w:tcW w:w="16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63DDBE0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RANGE!B1:C107"/>
            <w:r w:rsidRPr="003225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ZABEZPIECZENIA</w:t>
            </w:r>
            <w:bookmarkEnd w:id="0"/>
          </w:p>
        </w:tc>
        <w:tc>
          <w:tcPr>
            <w:tcW w:w="5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E28F8CB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PRZYKŁADY ZABEZPIECZEŃ</w:t>
            </w:r>
          </w:p>
        </w:tc>
      </w:tr>
      <w:tr w:rsidR="0032250D" w:rsidRPr="0032250D" w14:paraId="1928F026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2022D3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Fizyczne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E4BA97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Strefy dostępu określające obszar, w którym przetwarzane są dane wrażliwe lub krytyczne</w:t>
            </w:r>
          </w:p>
        </w:tc>
      </w:tr>
      <w:tr w:rsidR="0032250D" w:rsidRPr="0032250D" w14:paraId="0FED3CBD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91A397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Fizyczne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3DC421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Zabezpieczenie dostępu do serwerowni (drzwi zamykane na klucz, wejście kodowane, czytnik biometryczny itp.)</w:t>
            </w:r>
          </w:p>
        </w:tc>
      </w:tr>
      <w:tr w:rsidR="0032250D" w:rsidRPr="0032250D" w14:paraId="39A4A8A0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3FD5F6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Fizyczne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FFF3CA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Zabezpieczenie dostępu do archiwum (drzwi zamykane na klucz, drzwi ognioodporne, drzwi antywłamaniowe itp.)</w:t>
            </w:r>
          </w:p>
        </w:tc>
        <w:bookmarkStart w:id="1" w:name="_GoBack"/>
        <w:bookmarkEnd w:id="1"/>
      </w:tr>
      <w:tr w:rsidR="0032250D" w:rsidRPr="0032250D" w14:paraId="68A78A39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E5DA16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Fizyczne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EC87A3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Ochrona fizyczna obiektu i/lub pomieszczeń</w:t>
            </w:r>
          </w:p>
        </w:tc>
      </w:tr>
      <w:tr w:rsidR="0032250D" w:rsidRPr="0032250D" w14:paraId="06109151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6EA603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Fizyczne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E3C436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Systemy alarmowe / zabezpieczenia antywłamaniowe</w:t>
            </w:r>
          </w:p>
        </w:tc>
      </w:tr>
      <w:tr w:rsidR="0032250D" w:rsidRPr="0032250D" w14:paraId="43AB7BC7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A385A0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Fizyczne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4A239D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Monitoring wizyjny</w:t>
            </w:r>
          </w:p>
        </w:tc>
      </w:tr>
      <w:tr w:rsidR="0032250D" w:rsidRPr="0032250D" w14:paraId="21F6D197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B848C7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Fizyczne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CCB8B5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Zabezpieczenia dostępu do lokalu i pomieszczeń (drzwi zamykane na klucz, drzwi ognioodporne, drzwi antywłamaniowe itp.)</w:t>
            </w:r>
          </w:p>
        </w:tc>
      </w:tr>
      <w:tr w:rsidR="0032250D" w:rsidRPr="0032250D" w14:paraId="6E2EA708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D3460E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Fizyczne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334368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Regularne wykonywanie i testowanie kopii informacji, oprogramowania i obrazów systemów zgodnie z procedurą kopi zapasowych</w:t>
            </w:r>
          </w:p>
        </w:tc>
      </w:tr>
      <w:tr w:rsidR="0032250D" w:rsidRPr="0032250D" w14:paraId="5D562650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CAD858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Fizyczne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DA53F4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Bezpieczne wycofywanie nośników - nośniki, które nie będą dalej wykorzystywane, należy bezpiecznie wycofać, zgodnie z formalnymi procedurami</w:t>
            </w:r>
          </w:p>
        </w:tc>
      </w:tr>
      <w:tr w:rsidR="0032250D" w:rsidRPr="0032250D" w14:paraId="179186EF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08C08D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Fizyczne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CFB3DE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Bezpieczne przekazywanie nośników - nośniki zawierające informacje należy chronić przed nieuprawnionym dostępem, nadużyciem oraz utratą integralności podczas transportu </w:t>
            </w:r>
          </w:p>
        </w:tc>
      </w:tr>
      <w:tr w:rsidR="0032250D" w:rsidRPr="0032250D" w14:paraId="7AA13DFA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F24F72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Fizyczne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DEB357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Ograniczenie dostępu do pomieszczeń i sprzętu</w:t>
            </w:r>
          </w:p>
        </w:tc>
      </w:tr>
      <w:tr w:rsidR="0032250D" w:rsidRPr="0032250D" w14:paraId="49A5D3CF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D39D1A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Fizyczne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3EBCE5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Zabezpieczenie dokumentacji w pomieszczeniach (zamknięte metalowe/niemetalowe szafy, sejf, skrytki itp.)</w:t>
            </w:r>
          </w:p>
        </w:tc>
      </w:tr>
      <w:tr w:rsidR="0032250D" w:rsidRPr="0032250D" w14:paraId="114DAFC5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BB8E34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Fizyczne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4B5136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Ekranowanie pomieszczeń</w:t>
            </w:r>
          </w:p>
        </w:tc>
      </w:tr>
      <w:tr w:rsidR="0032250D" w:rsidRPr="0032250D" w14:paraId="11C225C1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5CDFF8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Fizyczne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093144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Nadzór nad niewykorzystywanymi zakończeniami sieci LAN</w:t>
            </w:r>
          </w:p>
        </w:tc>
      </w:tr>
      <w:tr w:rsidR="0032250D" w:rsidRPr="0032250D" w14:paraId="2DE69D43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2F18FB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Fizyczne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DE340C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Nadzór nad niewykorzystywanymi zakończeniami sieci LAN (odłączenie niewykorzystanych zakończeń na krosownicach)</w:t>
            </w:r>
          </w:p>
        </w:tc>
      </w:tr>
      <w:tr w:rsidR="0032250D" w:rsidRPr="0032250D" w14:paraId="1546E130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2BD44F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Fizyczne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7C7A52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prowadzenie okablowania sieciowego w zamkniętych kanałach, nadzór nad krosownicami</w:t>
            </w:r>
          </w:p>
        </w:tc>
      </w:tr>
      <w:tr w:rsidR="0032250D" w:rsidRPr="0032250D" w14:paraId="3A49D7FE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399D0B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Fizyczne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4A8816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Stosowanie światłowodów w miejsce połączeń galwanicznych</w:t>
            </w:r>
          </w:p>
        </w:tc>
      </w:tr>
      <w:tr w:rsidR="0032250D" w:rsidRPr="0032250D" w14:paraId="7EA6C399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EFF5C1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B3B5B8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Polityka stosowania zabezpieczeń kryptograficznych</w:t>
            </w:r>
          </w:p>
        </w:tc>
      </w:tr>
      <w:tr w:rsidR="0032250D" w:rsidRPr="0032250D" w14:paraId="74B3E654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AAAFBA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24692E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Polityka dotycząca korzystania, ochrony i okresów ważności kluczy kryptograficznych</w:t>
            </w:r>
          </w:p>
        </w:tc>
      </w:tr>
      <w:tr w:rsidR="0032250D" w:rsidRPr="0032250D" w14:paraId="69B3C3E7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980F97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9ADD0F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Umowy na serwis i konserwację sprzętu w celu zapewnienia jego ciągłej dostępności i integralności</w:t>
            </w:r>
          </w:p>
        </w:tc>
      </w:tr>
      <w:tr w:rsidR="0032250D" w:rsidRPr="0032250D" w14:paraId="40DC8C8B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6F6324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3B16F9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Nadawanie i nadzór nad udzielonymi zezwoleniami dotyczącymi wynoszenia poza Izbę sprzętu, informacji i programów</w:t>
            </w:r>
          </w:p>
        </w:tc>
      </w:tr>
      <w:tr w:rsidR="0032250D" w:rsidRPr="0032250D" w14:paraId="60073C67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087D72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C16D29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Polityka czystego biurka i ekranu</w:t>
            </w:r>
          </w:p>
        </w:tc>
      </w:tr>
      <w:tr w:rsidR="0032250D" w:rsidRPr="0032250D" w14:paraId="07CBE1B1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A52572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9A3AB7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Procedury eksploatacyjne</w:t>
            </w:r>
          </w:p>
        </w:tc>
      </w:tr>
      <w:tr w:rsidR="0032250D" w:rsidRPr="0032250D" w14:paraId="31443136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9DEF49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F18EE6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Procedura kopii zapasowych</w:t>
            </w:r>
          </w:p>
        </w:tc>
      </w:tr>
      <w:tr w:rsidR="0032250D" w:rsidRPr="0032250D" w14:paraId="456D486B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20B744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236C98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Zasady instalowania oprogramowania przez użytkowników</w:t>
            </w:r>
          </w:p>
        </w:tc>
      </w:tr>
      <w:tr w:rsidR="0032250D" w:rsidRPr="0032250D" w14:paraId="69050F62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801BCC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B71C4E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Klauzule w umowach dotyczących wszystkich usług sieciowych, zawierające zidentyfikowane mechanizmy zabezpieczeń, poziomy świadczenia usług i wymagania dotyczące zarządzania</w:t>
            </w:r>
          </w:p>
        </w:tc>
      </w:tr>
      <w:tr w:rsidR="0032250D" w:rsidRPr="0032250D" w14:paraId="3EB551CE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2C176B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8B1E2A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Polityka przesyłania informacji, procedery i zabezpieczenia w celu ochrony wymiany informacji przesyłanych z użyciem wszystkich rodzajów środków łączności</w:t>
            </w:r>
          </w:p>
        </w:tc>
      </w:tr>
      <w:tr w:rsidR="0032250D" w:rsidRPr="0032250D" w14:paraId="6CE03446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103316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84B860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Polityka bezpieczeństwa informacji - zatwierdzona przez prezesa, opublikowana i zakomunikowana pracownikom i właściwym stronom zewnętrznym</w:t>
            </w:r>
          </w:p>
        </w:tc>
      </w:tr>
      <w:tr w:rsidR="0032250D" w:rsidRPr="0032250D" w14:paraId="163EC99F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424E73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C876B5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Przegląd polityk bezpieczeństwa informacji - przeglądy cykliczne oraz, gdy wystąpią istotne zmiany, w celu zapewnienia, że nadal są właściwe, adekwatne i skuteczne</w:t>
            </w:r>
          </w:p>
        </w:tc>
      </w:tr>
      <w:tr w:rsidR="0032250D" w:rsidRPr="0032250D" w14:paraId="02515B73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C98D97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498F81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Polityka stosowania urządzeń mobilnych</w:t>
            </w:r>
          </w:p>
        </w:tc>
      </w:tr>
      <w:tr w:rsidR="0032250D" w:rsidRPr="0032250D" w14:paraId="52AE0CA1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2DF471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07463B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Warunki zatrudnienia - umowy z pracownikami i kontrahentami powinny określać odpowiedzialność stron w obszarze bezpieczeństwa informacji</w:t>
            </w:r>
          </w:p>
        </w:tc>
      </w:tr>
      <w:tr w:rsidR="0032250D" w:rsidRPr="0032250D" w14:paraId="00F2B472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275E9B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6547DC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Szkolenia wstępne dla pracowników nowozatrudnionych</w:t>
            </w:r>
          </w:p>
        </w:tc>
      </w:tr>
      <w:tr w:rsidR="0032250D" w:rsidRPr="0032250D" w14:paraId="22A7C487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013760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B66666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Okresowe szkolenia dla pracowników już zatrudnionych</w:t>
            </w:r>
          </w:p>
        </w:tc>
      </w:tr>
      <w:tr w:rsidR="0032250D" w:rsidRPr="0032250D" w14:paraId="48FA08EF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2B2BAA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36CA36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Procedury zarządzania nośnikami wymiennymi</w:t>
            </w:r>
          </w:p>
        </w:tc>
      </w:tr>
      <w:tr w:rsidR="0032250D" w:rsidRPr="0032250D" w14:paraId="0F1975F0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35A34C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C678B9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Polityka kontroli dostępu -  ustanowiona, udokumentowana i poddawana cyklicznym przeglądom</w:t>
            </w:r>
          </w:p>
        </w:tc>
      </w:tr>
      <w:tr w:rsidR="0032250D" w:rsidRPr="0032250D" w14:paraId="642FA047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CE3567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E3999E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Dostęp do sieci i usług sieciowych, tylko do zasobów, do których otrzymali wyraźne upoważnienie</w:t>
            </w:r>
          </w:p>
        </w:tc>
      </w:tr>
      <w:tr w:rsidR="0032250D" w:rsidRPr="0032250D" w14:paraId="6D49085A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24B876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C5333A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Ograniczenie dostępu do informacji zgodnie z polityką kontroli dostępu</w:t>
            </w:r>
          </w:p>
        </w:tc>
      </w:tr>
      <w:tr w:rsidR="0032250D" w:rsidRPr="0032250D" w14:paraId="4CC8560E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D25C0F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226C91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Procedura bezpiecznego logowania</w:t>
            </w:r>
          </w:p>
        </w:tc>
      </w:tr>
      <w:tr w:rsidR="0032250D" w:rsidRPr="0032250D" w14:paraId="0C307981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9A4322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0E4659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Regulamin Ochrony Danych Osobowych dla pracowników i współpracowników</w:t>
            </w:r>
          </w:p>
        </w:tc>
      </w:tr>
      <w:tr w:rsidR="0032250D" w:rsidRPr="0032250D" w14:paraId="1310782A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B209DA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30CEAE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Outsourcing</w:t>
            </w:r>
          </w:p>
        </w:tc>
      </w:tr>
      <w:tr w:rsidR="0032250D" w:rsidRPr="0032250D" w14:paraId="2CC3ACB9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DEA26B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09E7CB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Polityka kluczy (kontrola kluczy zapasowych, kontrola wydawania kluczy, kontrola przechowywania kluczy)</w:t>
            </w:r>
          </w:p>
        </w:tc>
      </w:tr>
      <w:tr w:rsidR="0032250D" w:rsidRPr="0032250D" w14:paraId="58B14C03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C5F365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1760C0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Procedura audytów</w:t>
            </w:r>
          </w:p>
        </w:tc>
      </w:tr>
      <w:tr w:rsidR="0032250D" w:rsidRPr="0032250D" w14:paraId="663BDCC3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BDFC56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8642A4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Procedura korzystania z zasobów sieci (poczta elektroniczna, Internet, …)</w:t>
            </w:r>
          </w:p>
        </w:tc>
      </w:tr>
      <w:tr w:rsidR="0032250D" w:rsidRPr="0032250D" w14:paraId="7E41AE02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911F93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75121C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Procedura postepowania z nośnikami i sprzętem poza Izbą</w:t>
            </w:r>
          </w:p>
        </w:tc>
      </w:tr>
      <w:tr w:rsidR="0032250D" w:rsidRPr="0032250D" w14:paraId="22DB20B4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BD8FBE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40402B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Procedury nadawania i odbierania uprawnień</w:t>
            </w:r>
          </w:p>
        </w:tc>
      </w:tr>
      <w:tr w:rsidR="0032250D" w:rsidRPr="0032250D" w14:paraId="2B855F17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827182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495314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Procedury postępowania na wypadek wykrycia ataków </w:t>
            </w:r>
            <w:proofErr w:type="spellStart"/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DDoS</w:t>
            </w:r>
            <w:proofErr w:type="spellEnd"/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DoS</w:t>
            </w:r>
            <w:proofErr w:type="spellEnd"/>
          </w:p>
        </w:tc>
      </w:tr>
      <w:tr w:rsidR="0032250D" w:rsidRPr="0032250D" w14:paraId="1F4A4D04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9DC561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A9F3C7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Procedury postępowania w przypadku wykrycia anomalii i sposoby dokumentowania takiego postępowania</w:t>
            </w:r>
          </w:p>
        </w:tc>
      </w:tr>
      <w:tr w:rsidR="0032250D" w:rsidRPr="0032250D" w14:paraId="39CD290C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795F2F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45418D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Procedury przeglądania uprawnień w systemach</w:t>
            </w:r>
          </w:p>
        </w:tc>
      </w:tr>
      <w:tr w:rsidR="0032250D" w:rsidRPr="0032250D" w14:paraId="2B3AB679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AC7792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73D716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Procedury reagowania na wykrycie </w:t>
            </w:r>
            <w:proofErr w:type="spellStart"/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botnet</w:t>
            </w:r>
            <w:proofErr w:type="spellEnd"/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sieci Izby</w:t>
            </w:r>
          </w:p>
        </w:tc>
      </w:tr>
      <w:tr w:rsidR="0032250D" w:rsidRPr="0032250D" w14:paraId="3F815BBD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770DA9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53CDBC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lang w:eastAsia="pl-PL"/>
              </w:rPr>
              <w:t>Procedury reagowania na wykryte incydenty / Plan ciągłości działania</w:t>
            </w:r>
          </w:p>
        </w:tc>
      </w:tr>
      <w:tr w:rsidR="0032250D" w:rsidRPr="0032250D" w14:paraId="34BFD199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A92877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825005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Procedury uaktualnienia oprogramowania (instalacja łat)</w:t>
            </w:r>
          </w:p>
        </w:tc>
      </w:tr>
      <w:tr w:rsidR="0032250D" w:rsidRPr="0032250D" w14:paraId="47A0FC70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D8B279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3A845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Rozpraszanie uprawnień (zasada "czterech par oczu")</w:t>
            </w:r>
          </w:p>
        </w:tc>
      </w:tr>
      <w:tr w:rsidR="0032250D" w:rsidRPr="0032250D" w14:paraId="2ECCBE57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012F48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7F816B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Stosowanie zasady wiedzy koniecznej (</w:t>
            </w:r>
            <w:proofErr w:type="spellStart"/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need</w:t>
            </w:r>
            <w:proofErr w:type="spellEnd"/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</w:t>
            </w:r>
            <w:proofErr w:type="spellStart"/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know</w:t>
            </w:r>
            <w:proofErr w:type="spellEnd"/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32250D" w:rsidRPr="0032250D" w14:paraId="0D252007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AEE578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A632F0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Umowy z dostawcami usługi dostępu do Internetu zawierające klauzule przenoszące działania przeciw atakowi na dostawcę</w:t>
            </w:r>
          </w:p>
        </w:tc>
      </w:tr>
      <w:tr w:rsidR="0032250D" w:rsidRPr="0032250D" w14:paraId="0D1BCF1D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4A75F9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9CAB99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Zabezpieczenie odpowiednich środków finansowych zapewniających wymianę sprzętu (zgodnie z obowiązującą w Izbie strategią rozwoju informatyzacji)</w:t>
            </w:r>
          </w:p>
        </w:tc>
      </w:tr>
      <w:tr w:rsidR="0032250D" w:rsidRPr="0032250D" w14:paraId="4368D37D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E534F8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Organizacyjne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2DF918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Zapory sieciowe skonfigurowane według zasady "wszystko jest zabronione, z wyjątkiem tego na co wyrażono zgodę"</w:t>
            </w:r>
          </w:p>
        </w:tc>
      </w:tr>
      <w:tr w:rsidR="0032250D" w:rsidRPr="0032250D" w14:paraId="337BC1F5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8639B4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Personalne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607951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Umowy serwisowe (powierzenia, SLA, kary umowne)</w:t>
            </w:r>
          </w:p>
        </w:tc>
      </w:tr>
      <w:tr w:rsidR="0032250D" w:rsidRPr="0032250D" w14:paraId="6C75E745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CCA467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Personalne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CBD970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Bezpieczeństwo informacji w zarządzaniu projektami - bezpieczeństwo informacji należy uwzględniać w każdym projekcie (obowiązkowa współpraca z IOD)</w:t>
            </w:r>
          </w:p>
        </w:tc>
      </w:tr>
      <w:tr w:rsidR="0032250D" w:rsidRPr="0032250D" w14:paraId="45EF7CC8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36238D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Personalne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FE97D6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Aktualizacja zakresów odpowiedzialności i obowiązków w zakresie bezpieczeństwa informacji</w:t>
            </w:r>
          </w:p>
        </w:tc>
      </w:tr>
      <w:tr w:rsidR="0032250D" w:rsidRPr="0032250D" w14:paraId="33D3D366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92E71E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Personalne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B910F0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Zwrot aktywów - wszyscy pracownicy i użytkownicy podmiotów zewnętrznych, w momencie zakończenia zatrudnienia, umowy lub porozumienia, powinni zwrócić wszystkie posiadane aktywa Izby</w:t>
            </w:r>
          </w:p>
        </w:tc>
      </w:tr>
      <w:tr w:rsidR="0032250D" w:rsidRPr="0032250D" w14:paraId="42304CFB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61CCD0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Personalne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FB42D2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Sformalizowany proces rejestrowania i wyrejestrowywania użytkowników</w:t>
            </w:r>
          </w:p>
        </w:tc>
      </w:tr>
      <w:tr w:rsidR="0032250D" w:rsidRPr="0032250D" w14:paraId="7E26C030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06150B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Personalne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623B5C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Sformalizowany proces przydzielania dostępu użytkownikom do wszystkich systemów i usług</w:t>
            </w:r>
          </w:p>
        </w:tc>
      </w:tr>
      <w:tr w:rsidR="0032250D" w:rsidRPr="0032250D" w14:paraId="3482A79B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A7F78F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Personalne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D1082F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Ograniczenie i nadzorowanie przyznawania praw uprzywilejowanego dostępu</w:t>
            </w:r>
          </w:p>
        </w:tc>
      </w:tr>
      <w:tr w:rsidR="0032250D" w:rsidRPr="0032250D" w14:paraId="4C487918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64A826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Personalne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936E2F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Sformalizowany proces przydzielania poufnych informacji uwierzytelniającymi użytkowników</w:t>
            </w:r>
          </w:p>
        </w:tc>
      </w:tr>
      <w:tr w:rsidR="0032250D" w:rsidRPr="0032250D" w14:paraId="2D643622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5A6071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Personalne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3296E9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Przeglądy praw dostępu użytkowników, odbywające się regularnych odstępach czasu</w:t>
            </w:r>
          </w:p>
        </w:tc>
      </w:tr>
      <w:tr w:rsidR="0032250D" w:rsidRPr="0032250D" w14:paraId="2A018151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7D7763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Personalne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5A0449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Odbieranie praw dostępu - wszyscy pracownicy i użytkownicy podmiotów zewnętrznych, w momencie zakończenia zatrudnienia, umowy lub porozumienia, powinni mieć odebrane wszystkie prawa dostępu</w:t>
            </w:r>
          </w:p>
        </w:tc>
      </w:tr>
      <w:tr w:rsidR="0032250D" w:rsidRPr="0032250D" w14:paraId="1C587B24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CABED3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076BC2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System kontroli dostępu (karty wejścia/wyjścia, czytniki biometryczne)</w:t>
            </w:r>
          </w:p>
        </w:tc>
      </w:tr>
      <w:tr w:rsidR="0032250D" w:rsidRPr="0032250D" w14:paraId="33871BF0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78D160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04F350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Monitoring środowiskowy (czujki wilgotności, pomiary temperatury, ...)</w:t>
            </w:r>
          </w:p>
        </w:tc>
      </w:tr>
      <w:tr w:rsidR="0032250D" w:rsidRPr="0032250D" w14:paraId="5472DAFB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4790F7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913836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Systemy UPS i/lub agregaty prądotwórcze</w:t>
            </w:r>
          </w:p>
        </w:tc>
      </w:tr>
      <w:tr w:rsidR="0032250D" w:rsidRPr="0032250D" w14:paraId="2263B170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47AC3E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A7B74B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Monitorowanie zużycia - systemy monitorujące stan usług i zasobów krytycznych, serwerów, baz danych i urządzeń technicznych, dla zapewnienia właściwej wydajności systemu</w:t>
            </w:r>
          </w:p>
        </w:tc>
      </w:tr>
      <w:tr w:rsidR="0032250D" w:rsidRPr="0032250D" w14:paraId="0DE840CD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9AE389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17F469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System przeciwpożarowy</w:t>
            </w:r>
          </w:p>
        </w:tc>
      </w:tr>
      <w:tr w:rsidR="0032250D" w:rsidRPr="0032250D" w14:paraId="7014E73C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0AA8F4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006020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System zarządzania hasłami - interaktywny i zapewniający wybór haseł dobrej jakości</w:t>
            </w:r>
          </w:p>
        </w:tc>
      </w:tr>
      <w:tr w:rsidR="0032250D" w:rsidRPr="0032250D" w14:paraId="08368A41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F7CE53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B324C9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Ograniczenie i nadzór nad wykorzystywaniem programów narzędziowych, umożliwiających obejście zabezpieczeń systemowych</w:t>
            </w:r>
          </w:p>
        </w:tc>
      </w:tr>
      <w:tr w:rsidR="0032250D" w:rsidRPr="0032250D" w14:paraId="337CAC36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62A24D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F930C5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Ograniczenie / uniemożliwienie dostępu do kodów źródłowych programów</w:t>
            </w:r>
          </w:p>
        </w:tc>
      </w:tr>
      <w:tr w:rsidR="0032250D" w:rsidRPr="0032250D" w14:paraId="6BA4C6E2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E76D75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5EF32D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Aktualizacje systemu </w:t>
            </w:r>
          </w:p>
        </w:tc>
      </w:tr>
      <w:tr w:rsidR="0032250D" w:rsidRPr="0032250D" w14:paraId="4D79ACE5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6EBE38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843665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Analityczny system do wykrywania zagrożeń (SIEM)</w:t>
            </w:r>
          </w:p>
        </w:tc>
      </w:tr>
      <w:tr w:rsidR="0032250D" w:rsidRPr="0032250D" w14:paraId="1BA4C491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EAA335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84162C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Klimatyzacja</w:t>
            </w:r>
          </w:p>
        </w:tc>
      </w:tr>
      <w:tr w:rsidR="0032250D" w:rsidRPr="0032250D" w14:paraId="36DD94B9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15BC27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DFF6F7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Redundancja krytycznych zasobów (macierz dyskowa RAID3, redundancja łącz, …)</w:t>
            </w:r>
          </w:p>
        </w:tc>
      </w:tr>
      <w:tr w:rsidR="0032250D" w:rsidRPr="0032250D" w14:paraId="5082C7CB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9F4E94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9667A6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Sondy IDS / IPS do ochrony dostępności do sieci komputerowej</w:t>
            </w:r>
          </w:p>
        </w:tc>
      </w:tr>
      <w:tr w:rsidR="0032250D" w:rsidRPr="0032250D" w14:paraId="1C59F3FD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378CB0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1D22E4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System wykrywania słabości i podatności (skanery podatności)</w:t>
            </w:r>
          </w:p>
        </w:tc>
      </w:tr>
      <w:tr w:rsidR="0032250D" w:rsidRPr="0032250D" w14:paraId="29EE33C9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F1F3F9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2960BC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Systemy do inwentaryzacji sprzętu, zarządzania licencjami, monitoring użytkowników</w:t>
            </w:r>
          </w:p>
        </w:tc>
      </w:tr>
      <w:tr w:rsidR="0032250D" w:rsidRPr="0032250D" w14:paraId="781FCDE6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457525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ABDF17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Systemy firewall, NG firewall, UTM</w:t>
            </w:r>
          </w:p>
        </w:tc>
      </w:tr>
      <w:tr w:rsidR="0032250D" w:rsidRPr="0032250D" w14:paraId="2859D652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2AE78A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01840E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Szyfrowanie (poczty SSL, połączeń internetowych </w:t>
            </w:r>
            <w:proofErr w:type="spellStart"/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SSl</w:t>
            </w:r>
            <w:proofErr w:type="spellEnd"/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/VPN, Pendrive, dysków komputerowych przenośnych (BitLocker), plików (7zip) itp.</w:t>
            </w:r>
          </w:p>
        </w:tc>
      </w:tr>
      <w:tr w:rsidR="0032250D" w:rsidRPr="0032250D" w14:paraId="0B9FF8B0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7FDA96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F17B51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Testy penetracyjne</w:t>
            </w:r>
          </w:p>
        </w:tc>
      </w:tr>
      <w:tr w:rsidR="0032250D" w:rsidRPr="0032250D" w14:paraId="71CCDFD7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143575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5381DB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Utwardzanie systemów (</w:t>
            </w:r>
            <w:proofErr w:type="spellStart"/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hardening</w:t>
            </w:r>
            <w:proofErr w:type="spellEnd"/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 - kompleksowe działania zmierzające do optymalizacji działania i poprawy stanu zabezpieczeń systemów operacyjnych serwerów oraz urządzeń końcowych pracujących w infrastrukturze informatycznej </w:t>
            </w:r>
          </w:p>
        </w:tc>
      </w:tr>
      <w:tr w:rsidR="0032250D" w:rsidRPr="0032250D" w14:paraId="0B7860B1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B421AE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7D03AD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Wirtualizacja - uruchamianie wielu systemów operacyjnych na tej samej platformie sprzętowej i systemowej</w:t>
            </w:r>
          </w:p>
        </w:tc>
      </w:tr>
      <w:tr w:rsidR="0032250D" w:rsidRPr="0032250D" w14:paraId="00AA2858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221B34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7A5682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Autoryzacja dostępu do serwera DHCP</w:t>
            </w:r>
          </w:p>
        </w:tc>
      </w:tr>
      <w:tr w:rsidR="0032250D" w:rsidRPr="0032250D" w14:paraId="2D13C562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DA672D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B4ED75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Blokowanie możliwości instalowania oprogramowania przez użytkownika</w:t>
            </w:r>
          </w:p>
        </w:tc>
      </w:tr>
      <w:tr w:rsidR="0032250D" w:rsidRPr="0032250D" w14:paraId="5DF75A2D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87FF04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4F390E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Blokowanie portów USB na stacjach roboczych</w:t>
            </w:r>
          </w:p>
        </w:tc>
      </w:tr>
      <w:tr w:rsidR="0032250D" w:rsidRPr="0032250D" w14:paraId="3F80FBD9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4B60E3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D0DDEC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Blokowanie ruchu sieciowego z określonych adresów IP</w:t>
            </w:r>
          </w:p>
        </w:tc>
      </w:tr>
      <w:tr w:rsidR="0032250D" w:rsidRPr="0032250D" w14:paraId="1CF601F4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4A8295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80644D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Budowanie topologii sieci z uwzględnieniem obszarów bezpiecznych i zdemilitaryzowanych (DMZ)</w:t>
            </w:r>
          </w:p>
        </w:tc>
      </w:tr>
      <w:tr w:rsidR="0032250D" w:rsidRPr="0032250D" w14:paraId="18B5E7E6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B5A983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34BF15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Monitorowanie ruchu sieci</w:t>
            </w:r>
          </w:p>
        </w:tc>
      </w:tr>
      <w:tr w:rsidR="0032250D" w:rsidRPr="0032250D" w14:paraId="1D6A4E42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8E2385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F56B4E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Nadzór nad ruchem wychodzącym</w:t>
            </w:r>
          </w:p>
        </w:tc>
      </w:tr>
      <w:tr w:rsidR="0032250D" w:rsidRPr="0032250D" w14:paraId="0A6A0A39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48F1A7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6B4593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Okresowe przeglądanie logów stacji roboczej przez administratorów</w:t>
            </w:r>
          </w:p>
        </w:tc>
      </w:tr>
      <w:tr w:rsidR="0032250D" w:rsidRPr="0032250D" w14:paraId="14A0479E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16F311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779C29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Oprogramowanie klasy AV na stacjach roboczych</w:t>
            </w:r>
          </w:p>
        </w:tc>
      </w:tr>
      <w:tr w:rsidR="0032250D" w:rsidRPr="0032250D" w14:paraId="21ED4AE3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E83F0E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C7E0F0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Oprogramowanie klasy AV na styku sieci WAN z LAN</w:t>
            </w:r>
          </w:p>
        </w:tc>
      </w:tr>
      <w:tr w:rsidR="0032250D" w:rsidRPr="0032250D" w14:paraId="1132D32C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5E9F0A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07FB6D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Przejście na statyczne wersje serwisu po wykryciu ataku typu </w:t>
            </w:r>
            <w:proofErr w:type="spellStart"/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DDoS</w:t>
            </w:r>
            <w:proofErr w:type="spellEnd"/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DoS</w:t>
            </w:r>
            <w:proofErr w:type="spellEnd"/>
          </w:p>
        </w:tc>
      </w:tr>
      <w:tr w:rsidR="0032250D" w:rsidRPr="0032250D" w14:paraId="51CB4384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DC087D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3E8484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Serwery PROXY (w tym utrzymywanie czarnej listy adresów URL oraz adresów IP)</w:t>
            </w:r>
          </w:p>
        </w:tc>
      </w:tr>
      <w:tr w:rsidR="0032250D" w:rsidRPr="0032250D" w14:paraId="69CE127A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EA1184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AEEABE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Stosowanie strefowania</w:t>
            </w:r>
          </w:p>
        </w:tc>
      </w:tr>
      <w:tr w:rsidR="0032250D" w:rsidRPr="0032250D" w14:paraId="0C9D23B0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A7B933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789C10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techniki rozpraszania danych (CDN - </w:t>
            </w:r>
            <w:proofErr w:type="spellStart"/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conten</w:t>
            </w:r>
            <w:proofErr w:type="spellEnd"/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delivery</w:t>
            </w:r>
            <w:proofErr w:type="spellEnd"/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network)</w:t>
            </w:r>
          </w:p>
        </w:tc>
      </w:tr>
      <w:tr w:rsidR="0032250D" w:rsidRPr="0032250D" w14:paraId="04F97C65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6EBD61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63ECAF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Systemy klasy IDS/IPS</w:t>
            </w:r>
          </w:p>
        </w:tc>
      </w:tr>
      <w:tr w:rsidR="0032250D" w:rsidRPr="0032250D" w14:paraId="037455A2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25D32E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237729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Translacja adresów sieciowych</w:t>
            </w:r>
          </w:p>
        </w:tc>
      </w:tr>
      <w:tr w:rsidR="0032250D" w:rsidRPr="0032250D" w14:paraId="4CE46D33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05D2CA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7445ED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Weryfikacja, czy na stacji roboczej znajduje się wyłącznie dopuszczalne oprogramowanie</w:t>
            </w:r>
          </w:p>
        </w:tc>
      </w:tr>
      <w:tr w:rsidR="0032250D" w:rsidRPr="0032250D" w14:paraId="15C2CD4E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3E2214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AE5053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Wykrycie nielegalnych działań ze strony użytkowników wewnętrznych systemu</w:t>
            </w:r>
          </w:p>
        </w:tc>
      </w:tr>
      <w:tr w:rsidR="0032250D" w:rsidRPr="0032250D" w14:paraId="556BB4D8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4AEC18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504ED9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Wykrywanie i blokowanie spamu</w:t>
            </w:r>
          </w:p>
        </w:tc>
      </w:tr>
      <w:tr w:rsidR="0032250D" w:rsidRPr="0032250D" w14:paraId="0B23A3F8" w14:textId="77777777" w:rsidTr="0032250D">
        <w:trPr>
          <w:trHeight w:val="600"/>
        </w:trPr>
        <w:tc>
          <w:tcPr>
            <w:tcW w:w="16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059771" w14:textId="77777777" w:rsidR="0032250D" w:rsidRPr="0032250D" w:rsidRDefault="0032250D" w:rsidP="0032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Techniczne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8F7CC8" w14:textId="77777777" w:rsidR="0032250D" w:rsidRPr="0032250D" w:rsidRDefault="0032250D" w:rsidP="0032250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250D">
              <w:rPr>
                <w:rFonts w:ascii="Calibri" w:eastAsia="Times New Roman" w:hAnsi="Calibri" w:cs="Calibri"/>
                <w:color w:val="000000"/>
                <w:lang w:eastAsia="pl-PL"/>
              </w:rPr>
              <w:t>Rozliczalność operacji</w:t>
            </w:r>
          </w:p>
        </w:tc>
      </w:tr>
    </w:tbl>
    <w:p w14:paraId="793C9DB4" w14:textId="77777777" w:rsidR="00AC2952" w:rsidRDefault="00AC2952"/>
    <w:sectPr w:rsidR="00AC29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7540B" w14:textId="77777777" w:rsidR="0028412E" w:rsidRDefault="0028412E" w:rsidP="0032250D">
      <w:pPr>
        <w:spacing w:after="0" w:line="240" w:lineRule="auto"/>
      </w:pPr>
      <w:r>
        <w:separator/>
      </w:r>
    </w:p>
  </w:endnote>
  <w:endnote w:type="continuationSeparator" w:id="0">
    <w:p w14:paraId="2D9B5EF1" w14:textId="77777777" w:rsidR="0028412E" w:rsidRDefault="0028412E" w:rsidP="0032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8D6A1" w14:textId="77777777" w:rsidR="0028412E" w:rsidRDefault="0028412E" w:rsidP="0032250D">
      <w:pPr>
        <w:spacing w:after="0" w:line="240" w:lineRule="auto"/>
      </w:pPr>
      <w:r>
        <w:separator/>
      </w:r>
    </w:p>
  </w:footnote>
  <w:footnote w:type="continuationSeparator" w:id="0">
    <w:p w14:paraId="319416BF" w14:textId="77777777" w:rsidR="0028412E" w:rsidRDefault="0028412E" w:rsidP="0032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30BD" w14:textId="39C2DDE8" w:rsidR="0032250D" w:rsidRDefault="0032250D">
    <w:pPr>
      <w:pStyle w:val="Nagwek"/>
    </w:pPr>
    <w:r>
      <w:t>Załącznik nr 2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F6"/>
    <w:rsid w:val="0028412E"/>
    <w:rsid w:val="0032250D"/>
    <w:rsid w:val="00762CAB"/>
    <w:rsid w:val="007A77F6"/>
    <w:rsid w:val="00A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AB6C"/>
  <w15:chartTrackingRefBased/>
  <w15:docId w15:val="{7873972E-140E-41CA-AE33-E0387297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0D"/>
  </w:style>
  <w:style w:type="paragraph" w:styleId="Stopka">
    <w:name w:val="footer"/>
    <w:basedOn w:val="Normalny"/>
    <w:link w:val="StopkaZnak"/>
    <w:uiPriority w:val="99"/>
    <w:unhideWhenUsed/>
    <w:rsid w:val="0032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1346</Words>
  <Characters>8078</Characters>
  <Application>Microsoft Office Word</Application>
  <DocSecurity>0</DocSecurity>
  <Lines>67</Lines>
  <Paragraphs>18</Paragraphs>
  <ScaleCrop>false</ScaleCrop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3</cp:revision>
  <dcterms:created xsi:type="dcterms:W3CDTF">2018-04-12T07:41:00Z</dcterms:created>
  <dcterms:modified xsi:type="dcterms:W3CDTF">2018-04-12T07:46:00Z</dcterms:modified>
</cp:coreProperties>
</file>